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142"/>
        <w:jc w:val="right"/>
        <w:rPr>
          <w:rFonts w:eastAsia="NSimSun" w:cs="Arial"/>
          <w:lang w:eastAsia="zh-CN" w:bidi="hi-IN"/>
        </w:rPr>
      </w:pPr>
      <w:r>
        <w:rPr>
          <w:rFonts w:eastAsia="NSimSun" w:cs="Arial"/>
          <w:lang w:eastAsia="zh-CN" w:bidi="hi-IN"/>
        </w:rPr>
        <w:t xml:space="preserve">Директору Департамента </w:t>
      </w:r>
      <w:r/>
    </w:p>
    <w:p>
      <w:pPr>
        <w:ind w:left="5103" w:firstLine="142"/>
        <w:jc w:val="right"/>
        <w:rPr>
          <w:rFonts w:eastAsia="NSimSun" w:cs="Arial"/>
          <w:lang w:eastAsia="zh-CN" w:bidi="hi-IN"/>
        </w:rPr>
      </w:pPr>
      <w:r>
        <w:rPr>
          <w:rFonts w:eastAsia="NSimSun" w:cs="Arial"/>
          <w:lang w:eastAsia="zh-CN" w:bidi="hi-IN"/>
        </w:rPr>
        <w:t xml:space="preserve">промышленности Ханты-Мансийского</w:t>
      </w:r>
      <w:r/>
    </w:p>
    <w:p>
      <w:pPr>
        <w:ind w:left="5103" w:firstLine="142"/>
        <w:jc w:val="right"/>
        <w:rPr>
          <w:rFonts w:eastAsia="NSimSun" w:cs="Arial"/>
          <w:lang w:eastAsia="zh-CN" w:bidi="hi-IN"/>
        </w:rPr>
      </w:pPr>
      <w:r>
        <w:rPr>
          <w:rFonts w:eastAsia="NSimSun" w:cs="Arial"/>
          <w:lang w:eastAsia="zh-CN" w:bidi="hi-IN"/>
        </w:rPr>
        <w:t xml:space="preserve"> автономного округа – Югры</w:t>
      </w:r>
      <w:r/>
    </w:p>
    <w:p>
      <w:pPr>
        <w:ind w:left="5103" w:firstLine="142"/>
        <w:jc w:val="right"/>
        <w:tabs>
          <w:tab w:val="left" w:pos="5775" w:leader="none"/>
        </w:tabs>
        <w:rPr>
          <w:rFonts w:eastAsia="NSimSun" w:cs="Arial"/>
          <w:lang w:eastAsia="zh-CN" w:bidi="hi-IN"/>
        </w:rPr>
      </w:pPr>
      <w:r>
        <w:rPr>
          <w:rFonts w:eastAsia="NSimSun" w:cs="Arial"/>
          <w:lang w:eastAsia="zh-CN" w:bidi="hi-IN"/>
        </w:rPr>
        <w:tab/>
        <w:t xml:space="preserve">Зайцеву Кириллу Сергеевичу</w:t>
      </w:r>
      <w:r/>
    </w:p>
    <w:p>
      <w:pPr>
        <w:ind w:left="5809"/>
        <w:jc w:val="right"/>
        <w:rPr>
          <w:rFonts w:eastAsia="NSimSun" w:cs="Arial"/>
          <w:sz w:val="2"/>
          <w:szCs w:val="2"/>
          <w:lang w:eastAsia="zh-CN" w:bidi="hi-IN"/>
        </w:rPr>
        <w:pBdr>
          <w:top w:val="single" w:color="auto" w:sz="4" w:space="1"/>
        </w:pBdr>
      </w:pPr>
      <w:r>
        <w:rPr>
          <w:rFonts w:eastAsia="NSimSun" w:cs="Arial"/>
          <w:sz w:val="2"/>
          <w:szCs w:val="2"/>
          <w:lang w:eastAsia="zh-CN" w:bidi="hi-IN"/>
        </w:rPr>
      </w:r>
      <w:r/>
    </w:p>
    <w:p>
      <w:pPr>
        <w:ind w:left="5809"/>
        <w:jc w:val="right"/>
        <w:rPr>
          <w:rFonts w:eastAsia="NSimSun" w:cs="Arial"/>
          <w:sz w:val="2"/>
          <w:szCs w:val="2"/>
          <w:lang w:eastAsia="zh-CN" w:bidi="hi-IN"/>
        </w:rPr>
        <w:pBdr>
          <w:top w:val="single" w:color="auto" w:sz="4" w:space="1"/>
        </w:pBdr>
      </w:pPr>
      <w:r>
        <w:rPr>
          <w:rFonts w:eastAsia="NSimSun" w:cs="Arial"/>
          <w:sz w:val="2"/>
          <w:szCs w:val="2"/>
          <w:lang w:eastAsia="zh-CN" w:bidi="hi-IN"/>
        </w:rPr>
      </w:r>
      <w:r/>
    </w:p>
    <w:p>
      <w:pPr>
        <w:jc w:val="right"/>
        <w:rPr>
          <w:rFonts w:ascii="Verdana" w:hAnsi="Verdana" w:eastAsia="NSimSun" w:cs="Arial"/>
          <w:sz w:val="21"/>
          <w:szCs w:val="21"/>
          <w:lang w:bidi="hi-IN"/>
        </w:rPr>
      </w:pPr>
      <w:r>
        <w:rPr>
          <w:rFonts w:eastAsia="NSimSun"/>
          <w:lang w:bidi="hi-IN"/>
        </w:rPr>
        <w:t xml:space="preserve">ул. </w:t>
      </w:r>
      <w:r>
        <w:rPr>
          <w:rFonts w:eastAsia="NSimSun"/>
          <w:lang w:bidi="hi-IN"/>
        </w:rPr>
        <w:t xml:space="preserve">Рознина</w:t>
      </w:r>
      <w:r>
        <w:rPr>
          <w:rFonts w:eastAsia="NSimSun"/>
          <w:lang w:bidi="hi-IN"/>
        </w:rPr>
        <w:t xml:space="preserve">, д. 64, г. Ханты-Мансийск,</w:t>
      </w:r>
      <w:r/>
    </w:p>
    <w:p>
      <w:pPr>
        <w:ind w:left="5809"/>
        <w:jc w:val="right"/>
        <w:rPr>
          <w:rFonts w:eastAsia="NSimSun"/>
          <w:lang w:bidi="hi-IN"/>
        </w:rPr>
        <w:pBdr>
          <w:top w:val="single" w:color="auto" w:sz="4" w:space="1"/>
        </w:pBdr>
      </w:pPr>
      <w:r>
        <w:rPr>
          <w:rFonts w:eastAsia="NSimSun"/>
          <w:lang w:bidi="hi-IN"/>
        </w:rPr>
        <w:t xml:space="preserve">Ханты-Мансийский автономный</w:t>
      </w:r>
      <w:r/>
    </w:p>
    <w:p>
      <w:pPr>
        <w:ind w:left="5809"/>
        <w:jc w:val="right"/>
        <w:rPr>
          <w:sz w:val="2"/>
          <w:szCs w:val="2"/>
        </w:rPr>
        <w:pBdr>
          <w:top w:val="single" w:color="auto" w:sz="4" w:space="1"/>
        </w:pBdr>
      </w:pPr>
      <w:r>
        <w:rPr>
          <w:rFonts w:eastAsia="NSimSun"/>
          <w:lang w:bidi="hi-IN"/>
        </w:rPr>
        <w:t xml:space="preserve"> округ – Югра, </w:t>
      </w:r>
      <w:r>
        <w:rPr>
          <w:rFonts w:eastAsia="NSimSun"/>
          <w:lang w:bidi="hi-IN"/>
        </w:rPr>
        <w:t xml:space="preserve">628011</w:t>
      </w:r>
      <w:r/>
    </w:p>
    <w:p>
      <w:pPr>
        <w:ind w:left="5809"/>
        <w:jc w:val="right"/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pPr>
        <w:ind w:left="5809"/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pPr>
        <w:jc w:val="center"/>
        <w:spacing w:before="480"/>
        <w:rPr>
          <w:b/>
          <w:spacing w:val="60"/>
          <w:sz w:val="26"/>
          <w:szCs w:val="26"/>
        </w:rPr>
      </w:pPr>
      <w:r/>
      <w:bookmarkStart w:id="0" w:name="P47"/>
      <w:r/>
      <w:bookmarkEnd w:id="0"/>
      <w:r>
        <w:rPr>
          <w:b/>
          <w:spacing w:val="60"/>
          <w:sz w:val="26"/>
          <w:szCs w:val="26"/>
        </w:rPr>
        <w:t xml:space="preserve">ЗАЯВЛЕНИЕ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договора пользования водными биологическими </w:t>
      </w:r>
      <w:r>
        <w:rPr>
          <w:b/>
          <w:sz w:val="26"/>
          <w:szCs w:val="26"/>
        </w:rPr>
        <w:br/>
        <w:t xml:space="preserve">ресурсами, общий допустимый улов которых не устанавливается</w:t>
      </w:r>
      <w:r>
        <w:rPr>
          <w:b/>
          <w:sz w:val="26"/>
          <w:szCs w:val="26"/>
        </w:rPr>
        <w:t xml:space="preserve"> </w:t>
      </w:r>
      <w:r/>
    </w:p>
    <w:p>
      <w:r/>
      <w:r/>
    </w:p>
    <w:p>
      <w:pPr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r/>
      <w:r/>
    </w:p>
    <w:p>
      <w:pPr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pPr>
        <w:jc w:val="center"/>
        <w:rPr>
          <w:sz w:val="20"/>
          <w:szCs w:val="20"/>
        </w:rPr>
        <w:pBdr>
          <w:top w:val="single" w:color="auto" w:sz="4" w:space="1"/>
        </w:pBdr>
      </w:pPr>
      <w:r>
        <w:rPr>
          <w:sz w:val="20"/>
          <w:szCs w:val="20"/>
        </w:rPr>
        <w:t xml:space="preserve">(наименование, место нахождения и </w:t>
      </w:r>
      <w:r>
        <w:rPr>
          <w:b/>
          <w:sz w:val="20"/>
          <w:szCs w:val="20"/>
        </w:rPr>
        <w:t xml:space="preserve">адрес юридического лица</w:t>
      </w:r>
      <w:r>
        <w:rPr>
          <w:sz w:val="20"/>
          <w:szCs w:val="20"/>
        </w:rPr>
        <w:t xml:space="preserve">)</w:t>
      </w:r>
      <w:r/>
    </w:p>
    <w:p>
      <w:r/>
      <w:r/>
    </w:p>
    <w:p>
      <w:pPr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r/>
      <w:r/>
    </w:p>
    <w:p>
      <w:pPr>
        <w:jc w:val="center"/>
        <w:rPr>
          <w:sz w:val="20"/>
          <w:szCs w:val="20"/>
        </w:rPr>
        <w:pBdr>
          <w:top w:val="single" w:color="auto" w:sz="4" w:space="1"/>
        </w:pBdr>
      </w:pPr>
      <w:r>
        <w:rPr>
          <w:sz w:val="20"/>
          <w:szCs w:val="20"/>
        </w:rPr>
        <w:t xml:space="preserve">(идентификационный номер налогоплательщика (ИНН), основной государственный </w:t>
      </w:r>
      <w:r>
        <w:rPr>
          <w:sz w:val="20"/>
          <w:szCs w:val="20"/>
        </w:rPr>
        <w:br/>
        <w:t xml:space="preserve">регистрационный номер (ОГРН),</w:t>
      </w:r>
      <w:r>
        <w:rPr>
          <w:sz w:val="20"/>
          <w:szCs w:val="20"/>
        </w:rPr>
        <w:t xml:space="preserve"> электронная почта,</w:t>
      </w:r>
      <w:r>
        <w:rPr>
          <w:sz w:val="20"/>
          <w:szCs w:val="20"/>
        </w:rPr>
        <w:t xml:space="preserve"> номер контактного телефона – </w:t>
      </w:r>
      <w:r>
        <w:rPr>
          <w:b/>
          <w:sz w:val="20"/>
          <w:szCs w:val="20"/>
        </w:rPr>
        <w:t xml:space="preserve">для юридического лица</w:t>
      </w:r>
      <w:r>
        <w:rPr>
          <w:sz w:val="20"/>
          <w:szCs w:val="20"/>
        </w:rPr>
        <w:t xml:space="preserve">)</w:t>
      </w:r>
      <w:r/>
    </w:p>
    <w:p>
      <w:r/>
      <w:r/>
    </w:p>
    <w:p>
      <w:pPr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r>
        <w:t xml:space="preserve">__________________________________________________________________________________</w:t>
      </w:r>
      <w:r/>
    </w:p>
    <w:p>
      <w:r/>
      <w:r/>
    </w:p>
    <w:p>
      <w:pPr>
        <w:jc w:val="center"/>
        <w:rPr>
          <w:sz w:val="20"/>
          <w:szCs w:val="20"/>
        </w:rPr>
        <w:pBdr>
          <w:top w:val="single" w:color="auto" w:sz="4" w:space="1"/>
        </w:pBdr>
      </w:pPr>
      <w:r>
        <w:rPr>
          <w:sz w:val="20"/>
          <w:szCs w:val="20"/>
        </w:rPr>
        <w:t xml:space="preserve">(фамилия, имя, отчество (последнее – при наличии), данные документа, удостоверяющего личность, </w:t>
      </w:r>
      <w:r>
        <w:rPr>
          <w:sz w:val="20"/>
          <w:szCs w:val="20"/>
        </w:rPr>
        <w:br/>
        <w:t xml:space="preserve">место жительства – </w:t>
      </w:r>
      <w:r>
        <w:rPr>
          <w:b/>
          <w:sz w:val="20"/>
          <w:szCs w:val="20"/>
        </w:rPr>
        <w:t xml:space="preserve">для индивидуального предпринимателя</w:t>
      </w:r>
      <w:r>
        <w:rPr>
          <w:sz w:val="20"/>
          <w:szCs w:val="20"/>
        </w:rPr>
        <w:t xml:space="preserve">)</w:t>
      </w:r>
      <w:r/>
    </w:p>
    <w:p>
      <w:r/>
      <w:r/>
    </w:p>
    <w:p>
      <w:pPr>
        <w:rPr>
          <w:sz w:val="2"/>
          <w:szCs w:val="2"/>
        </w:rPr>
        <w:pBdr>
          <w:top w:val="single" w:color="auto" w:sz="4" w:space="1"/>
        </w:pBdr>
      </w:pPr>
      <w:r>
        <w:rPr>
          <w:sz w:val="2"/>
          <w:szCs w:val="2"/>
        </w:rPr>
      </w:r>
      <w:r/>
    </w:p>
    <w:p>
      <w:r>
        <w:t xml:space="preserve">__________________________________________________________________________________</w:t>
      </w:r>
      <w:r/>
    </w:p>
    <w:p>
      <w:r/>
      <w:r/>
    </w:p>
    <w:p>
      <w:pPr>
        <w:jc w:val="center"/>
        <w:rPr>
          <w:sz w:val="20"/>
          <w:szCs w:val="20"/>
        </w:rPr>
        <w:pBdr>
          <w:top w:val="single" w:color="auto" w:sz="4" w:space="1"/>
        </w:pBdr>
      </w:pPr>
      <w:r>
        <w:rPr>
          <w:sz w:val="20"/>
          <w:szCs w:val="20"/>
        </w:rPr>
        <w:t xml:space="preserve">(идентификационный номер налогоплательщика (ИНН), страховой номер </w:t>
      </w:r>
      <w:r>
        <w:rPr>
          <w:sz w:val="20"/>
          <w:szCs w:val="20"/>
        </w:rPr>
        <w:br/>
        <w:t xml:space="preserve">индивидуального лицевого счета в системе обязательного пенсионного страхования (СНИЛС), </w:t>
      </w:r>
      <w:r>
        <w:rPr>
          <w:sz w:val="20"/>
          <w:szCs w:val="20"/>
        </w:rPr>
        <w:br/>
        <w:t xml:space="preserve">основной государственный регистрационный номер индивидуального предпринимателя (ОГРНИП), </w:t>
      </w:r>
      <w:r>
        <w:rPr>
          <w:sz w:val="20"/>
          <w:szCs w:val="20"/>
        </w:rPr>
        <w:t xml:space="preserve">электронная почта, </w:t>
      </w:r>
      <w:r>
        <w:rPr>
          <w:sz w:val="20"/>
          <w:szCs w:val="20"/>
        </w:rPr>
        <w:t xml:space="preserve">номер контактного телефона – </w:t>
      </w:r>
      <w:r>
        <w:rPr>
          <w:b/>
          <w:sz w:val="20"/>
          <w:szCs w:val="20"/>
        </w:rPr>
        <w:t xml:space="preserve">для индивидуального предпринимателя</w:t>
      </w:r>
      <w:r>
        <w:rPr>
          <w:sz w:val="20"/>
          <w:szCs w:val="20"/>
        </w:rPr>
        <w:t xml:space="preserve">)</w:t>
      </w:r>
      <w:r/>
    </w:p>
    <w:p>
      <w:pPr>
        <w:spacing w:before="240" w:after="180"/>
      </w:pPr>
      <w:r>
        <w:t xml:space="preserve">Сведения:</w:t>
      </w:r>
      <w:r/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546"/>
        <w:gridCol w:w="3118"/>
        <w:gridCol w:w="3969"/>
      </w:tblGrid>
      <w:tr>
        <w:trPr>
          <w:trHeight w:val="1120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546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Банковские реквизиты</w:t>
            </w:r>
            <w:r/>
          </w:p>
        </w:tc>
        <w:tc>
          <w:tcPr>
            <w:gridSpan w:val="2"/>
            <w:tcW w:w="7087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/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tcW w:w="566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rPr>
                <w:b/>
              </w:rPr>
            </w:pPr>
            <w:r>
              <w:t xml:space="preserve">Сведения о нахождении или </w:t>
            </w:r>
            <w:r>
              <w:t xml:space="preserve">ненахождении</w:t>
            </w:r>
            <w:r>
              <w:t xml:space="preserve"> заявителя под контролем иностранного инвестора – </w:t>
            </w:r>
            <w:r>
              <w:rPr>
                <w:b/>
              </w:rPr>
              <w:t xml:space="preserve">для юридического лица </w:t>
            </w:r>
            <w:r/>
          </w:p>
          <w:p>
            <w:pPr>
              <w:ind w:left="57" w:right="57"/>
              <w:jc w:val="both"/>
            </w:pPr>
            <w:r/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/>
            <w:r/>
          </w:p>
          <w:p>
            <w:pPr>
              <w:ind w:left="57" w:right="57"/>
              <w:jc w:val="both"/>
            </w:pPr>
            <w:r>
              <w:t xml:space="preserve">_____________________________</w:t>
            </w:r>
            <w:r/>
          </w:p>
          <w:p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(находится/ не находится под контролем иностранного инвестора)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tcW w:w="566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– </w:t>
            </w:r>
            <w:r>
              <w:rPr>
                <w:b/>
              </w:rPr>
              <w:t xml:space="preserve">для юридического лица</w:t>
            </w:r>
            <w:r>
              <w:t xml:space="preserve"> </w:t>
            </w:r>
            <w:r>
              <w:br/>
              <w:t xml:space="preserve">в случае, если контроль иностранного инвестора </w:t>
            </w:r>
            <w:r>
              <w:br/>
              <w:t xml:space="preserve">в отношении юридического лица установлен </w:t>
            </w:r>
            <w:r>
              <w:br/>
              <w:t xml:space="preserve">в порядке, предусмотренном Федеральным законом от 29 апреля 2008 г. № 57-ФЗ «О порядке осуществления иностранных инвестиций </w:t>
            </w:r>
            <w:r>
              <w:br/>
              <w:t xml:space="preserve">в хозяйственные общества, имеющие стратегическое значение для обеспечения обороны страны </w:t>
            </w:r>
            <w:r>
              <w:br/>
            </w:r>
            <w:r>
              <w:t xml:space="preserve">и безопасности государства» (Собрание законодательства Российской Федерации, 2008, </w:t>
            </w:r>
            <w:r>
              <w:br/>
              <w:t xml:space="preserve">№ 18, ст. 1940; 2018, № 49, ст. 7523)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rPr>
          <w:trHeight w:val="429"/>
        </w:trPr>
        <w:tc>
          <w:tcPr>
            <w:tcBorders>
              <w:bottom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ind w:left="57" w:right="57"/>
            </w:pPr>
            <w:r>
              <w:t xml:space="preserve">Вид рыболовства </w:t>
            </w:r>
            <w:r/>
          </w:p>
        </w:tc>
        <w:tc>
          <w:tcPr>
            <w:tcBorders>
              <w:bottom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Промышленное рыболовство</w:t>
            </w:r>
            <w:r/>
          </w:p>
        </w:tc>
      </w:tr>
    </w:tbl>
    <w:p>
      <w:pPr>
        <w:tabs>
          <w:tab w:val="left" w:pos="6521" w:leader="none"/>
        </w:tabs>
      </w:pPr>
      <w:r/>
      <w:r/>
    </w:p>
    <w:tbl>
      <w:tblPr>
        <w:tblStyle w:val="670"/>
        <w:tblW w:w="10201" w:type="dxa"/>
        <w:tblLook w:val="04A0" w:firstRow="1" w:lastRow="0" w:firstColumn="1" w:lastColumn="0" w:noHBand="0" w:noVBand="1"/>
      </w:tblPr>
      <w:tblGrid>
        <w:gridCol w:w="2520"/>
        <w:gridCol w:w="1586"/>
        <w:gridCol w:w="3119"/>
        <w:gridCol w:w="2976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Вид водных биологических ресурсов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Объем (тонн)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Района добычи (вылова) и (или) наименование рыболовного участка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Сроки добычи (вылова)</w:t>
            </w:r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5.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6.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7.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8.</w:t>
            </w:r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Налим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</w:pPr>
            <w:r/>
            <w:r/>
          </w:p>
          <w:p>
            <w:pPr>
              <w:jc w:val="both"/>
              <w:tabs>
                <w:tab w:val="left" w:pos="6521" w:leader="none"/>
              </w:tabs>
            </w:pPr>
            <w:r/>
            <w:r/>
          </w:p>
          <w:p>
            <w:pPr>
              <w:jc w:val="both"/>
              <w:tabs>
                <w:tab w:val="left" w:pos="6521" w:leader="none"/>
              </w:tabs>
            </w:pPr>
            <w:r>
              <w:t xml:space="preserve">с 1 января 2024 по </w:t>
            </w:r>
            <w:r/>
          </w:p>
          <w:p>
            <w:pPr>
              <w:jc w:val="both"/>
              <w:tabs>
                <w:tab w:val="left" w:pos="6521" w:leader="none"/>
              </w:tabs>
            </w:pPr>
            <w:r>
              <w:t xml:space="preserve">31 декабря </w:t>
            </w:r>
            <w:r>
              <w:t xml:space="preserve">20</w:t>
            </w:r>
            <w:r>
              <w:t xml:space="preserve">24</w:t>
            </w:r>
            <w:r>
              <w:t xml:space="preserve"> года</w:t>
            </w:r>
            <w:r/>
          </w:p>
          <w:p>
            <w:pPr>
              <w:jc w:val="both"/>
              <w:tabs>
                <w:tab w:val="left" w:pos="6521" w:leader="none"/>
              </w:tabs>
            </w:pPr>
            <w:r/>
            <w:r/>
          </w:p>
          <w:p>
            <w:pPr>
              <w:jc w:val="both"/>
              <w:tabs>
                <w:tab w:val="left" w:pos="6521" w:leader="none"/>
              </w:tabs>
            </w:pPr>
            <w:r/>
            <w:r/>
          </w:p>
          <w:p>
            <w:pPr>
              <w:jc w:val="both"/>
              <w:tabs>
                <w:tab w:val="left" w:pos="6521" w:leader="none"/>
              </w:tabs>
            </w:pPr>
            <w:r>
              <w:t xml:space="preserve">В соответствии с Правилами рыболовства для Западно-Сибирского </w:t>
            </w:r>
            <w:r>
              <w:t xml:space="preserve">рыбохозяйственного</w:t>
            </w:r>
            <w:r>
              <w:t xml:space="preserve"> бассейна</w:t>
            </w:r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Щука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Язь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Лещ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Судак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Карась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Окунь пресноводный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Плотва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Елец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/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Ерш пресноводный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>
          <w:trHeight w:val="259"/>
        </w:trPr>
        <w:tc>
          <w:tcPr>
            <w:tcW w:w="2520" w:type="dxa"/>
            <w:textDirection w:val="lrTb"/>
            <w:noWrap w:val="false"/>
          </w:tcPr>
          <w:p>
            <w:pPr>
              <w:jc w:val="center"/>
              <w:tabs>
                <w:tab w:val="left" w:pos="6521" w:leader="none"/>
              </w:tabs>
            </w:pPr>
            <w:r>
              <w:t xml:space="preserve">ИТОГО</w:t>
            </w:r>
            <w:r/>
          </w:p>
        </w:tc>
        <w:tc>
          <w:tcPr>
            <w:tcW w:w="1586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</w:tbl>
    <w:p>
      <w:pPr>
        <w:tabs>
          <w:tab w:val="left" w:pos="6521" w:leader="none"/>
        </w:tabs>
      </w:pPr>
      <w:r/>
      <w:r/>
    </w:p>
    <w:tbl>
      <w:tblPr>
        <w:tblStyle w:val="670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6095"/>
      </w:tblGrid>
      <w:tr>
        <w:trPr>
          <w:trHeight w:val="135"/>
        </w:trPr>
        <w:tc>
          <w:tcP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Типы судов</w:t>
            </w:r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  <w:tr>
        <w:trPr>
          <w:trHeight w:val="135"/>
        </w:trPr>
        <w:tc>
          <w:tcPr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</w:t>
            </w:r>
            <w:r>
              <w:rPr>
                <w:i/>
                <w:sz w:val="18"/>
                <w:szCs w:val="18"/>
              </w:rPr>
              <w:t xml:space="preserve">окумент</w:t>
            </w:r>
            <w:r>
              <w:rPr>
                <w:i/>
                <w:sz w:val="18"/>
                <w:szCs w:val="18"/>
              </w:rPr>
              <w:t xml:space="preserve">ы </w:t>
            </w:r>
            <w:r>
              <w:rPr>
                <w:i/>
                <w:sz w:val="18"/>
                <w:szCs w:val="18"/>
              </w:rPr>
              <w:t xml:space="preserve">подтверждающи</w:t>
            </w:r>
            <w:r>
              <w:rPr>
                <w:i/>
                <w:sz w:val="18"/>
                <w:szCs w:val="18"/>
              </w:rPr>
              <w:t xml:space="preserve">е</w:t>
            </w:r>
            <w:bookmarkStart w:id="1" w:name="_GoBack"/>
            <w:r/>
            <w:bookmarkEnd w:id="1"/>
            <w:r>
              <w:rPr>
                <w:i/>
                <w:sz w:val="18"/>
                <w:szCs w:val="18"/>
              </w:rPr>
              <w:t xml:space="preserve"> имущественные права заявителя на собственные или арендованные суда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/ </w:t>
            </w:r>
            <w:r>
              <w:rPr>
                <w:i/>
                <w:sz w:val="18"/>
                <w:szCs w:val="18"/>
              </w:rPr>
              <w:t xml:space="preserve">без использования судов</w:t>
            </w:r>
            <w:r/>
          </w:p>
        </w:tc>
      </w:tr>
      <w:tr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</w:pPr>
            <w:r/>
            <w:r/>
          </w:p>
          <w:p>
            <w:pPr>
              <w:ind w:left="57" w:right="57"/>
              <w:jc w:val="both"/>
            </w:pPr>
            <w:r>
              <w:t xml:space="preserve">Орудия и способы добычи (вылова)</w:t>
            </w:r>
            <w:r/>
          </w:p>
          <w:p>
            <w:pPr>
              <w:ind w:left="57" w:right="57"/>
              <w:jc w:val="both"/>
            </w:pPr>
            <w:r>
              <w:t xml:space="preserve">вида водных биологических ресурсов</w:t>
            </w:r>
            <w:r/>
          </w:p>
          <w:p>
            <w:pPr>
              <w:ind w:left="57" w:right="57"/>
              <w:jc w:val="both"/>
            </w:pPr>
            <w:r/>
            <w:r/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6521" w:leader="none"/>
              </w:tabs>
            </w:pPr>
            <w:r/>
            <w:r/>
          </w:p>
        </w:tc>
      </w:tr>
    </w:tbl>
    <w:p>
      <w:pPr>
        <w:tabs>
          <w:tab w:val="left" w:pos="6521" w:leader="none"/>
        </w:tabs>
      </w:pPr>
      <w:r/>
      <w:r/>
    </w:p>
    <w:p>
      <w:pPr>
        <w:tabs>
          <w:tab w:val="left" w:pos="6521" w:leader="none"/>
        </w:tabs>
      </w:pPr>
      <w:r/>
      <w:r/>
    </w:p>
    <w:p>
      <w:pPr>
        <w:jc w:val="center"/>
        <w:rPr>
          <w:color w:val="ffffff"/>
          <w:sz w:val="20"/>
          <w:szCs w:val="20"/>
        </w:rPr>
        <w:pBdr>
          <w:top w:val="single" w:color="auto" w:sz="4" w:space="1"/>
        </w:pBdr>
      </w:pPr>
      <w:r>
        <w:rPr>
          <w:sz w:val="20"/>
          <w:szCs w:val="20"/>
        </w:rPr>
        <w:t xml:space="preserve">(должность руководителя юридического лица/фамилия, имя, отчество (последнее – при наличии) индивидуального предпринимателя, или их уполномоченных представителей) </w:t>
      </w:r>
      <w:r/>
    </w:p>
    <w:p>
      <w:r/>
      <w:r/>
    </w:p>
    <w:p>
      <w:pPr>
        <w:pBdr>
          <w:bottom w:val="single" w:color="auto" w:sz="4" w:space="3"/>
        </w:pBdr>
      </w:pPr>
      <w:r>
        <w:t xml:space="preserve">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</w:t>
      </w:r>
      <w:r>
        <w:t xml:space="preserve">--------------------------</w:t>
      </w:r>
      <w:r/>
    </w:p>
    <w:p>
      <w:pPr>
        <w:pBdr>
          <w:bottom w:val="single" w:color="auto" w:sz="4" w:space="3"/>
        </w:pBdr>
      </w:pPr>
      <w:r>
        <w:t xml:space="preserve">М.П.</w:t>
      </w:r>
      <w:r>
        <w:t xml:space="preserve">    </w:t>
      </w:r>
      <w:r>
        <w:t xml:space="preserve">         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 xml:space="preserve">(расшифровка подписи)</w:t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680" w:bottom="567" w:left="1134" w:header="28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204020203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67"/>
      </w:rPr>
      <w:framePr w:wrap="around" w:vAnchor="text" w:hAnchor="margin" w:xAlign="right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/>
  </w:p>
  <w:p>
    <w:pPr>
      <w:pStyle w:val="665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65"/>
    <w:uiPriority w:val="99"/>
  </w:style>
  <w:style w:type="paragraph" w:styleId="44">
    <w:name w:val="Footer"/>
    <w:basedOn w:val="66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2" w:default="1">
    <w:name w:val="Default Paragraph Font"/>
    <w:uiPriority w:val="1"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Header"/>
    <w:basedOn w:val="661"/>
    <w:link w:val="666"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62"/>
    <w:link w:val="6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7">
    <w:name w:val="page number"/>
    <w:basedOn w:val="662"/>
  </w:style>
  <w:style w:type="paragraph" w:styleId="668">
    <w:name w:val="Balloon Text"/>
    <w:basedOn w:val="661"/>
    <w:link w:val="6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62"/>
    <w:link w:val="6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70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ВБР</dc:title>
  <dc:creator>SlepokurovAV@admhmao.ru</dc:creator>
  <cp:revision>3</cp:revision>
  <dcterms:created xsi:type="dcterms:W3CDTF">2022-12-01T12:04:00Z</dcterms:created>
  <dcterms:modified xsi:type="dcterms:W3CDTF">2023-11-10T05:53:06Z</dcterms:modified>
</cp:coreProperties>
</file>