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AE" w:rsidRDefault="00622A26">
      <w:pPr>
        <w:pStyle w:val="a3"/>
        <w:rPr>
          <w:sz w:val="26"/>
        </w:rPr>
      </w:pPr>
      <w:r>
        <w:rPr>
          <w:sz w:val="26"/>
        </w:rPr>
        <w:t xml:space="preserve">    </w:t>
      </w:r>
    </w:p>
    <w:p w:rsidR="00D112AE" w:rsidRDefault="00622A26">
      <w:pPr>
        <w:pStyle w:val="a3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714375" cy="7143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12AE" w:rsidRDefault="00D112AE">
      <w:pPr>
        <w:pStyle w:val="a3"/>
        <w:jc w:val="center"/>
        <w:rPr>
          <w:sz w:val="26"/>
        </w:rPr>
      </w:pPr>
    </w:p>
    <w:p w:rsidR="00D112AE" w:rsidRDefault="00622A26">
      <w:pPr>
        <w:pStyle w:val="a3"/>
        <w:jc w:val="center"/>
        <w:rPr>
          <w:sz w:val="26"/>
        </w:rPr>
      </w:pPr>
      <w:r>
        <w:rPr>
          <w:sz w:val="26"/>
        </w:rPr>
        <w:t>Муниципальное казенное учреждение администрация города Пыть-Яха</w:t>
      </w:r>
      <w:r>
        <w:rPr>
          <w:sz w:val="26"/>
        </w:rPr>
        <w:br/>
        <w:t xml:space="preserve">исполнительно-распорядительный орган местного самоуправления </w:t>
      </w:r>
    </w:p>
    <w:p w:rsidR="00D112AE" w:rsidRDefault="00622A26">
      <w:pPr>
        <w:pStyle w:val="a3"/>
        <w:jc w:val="center"/>
        <w:rPr>
          <w:sz w:val="26"/>
        </w:rPr>
      </w:pPr>
      <w:r>
        <w:rPr>
          <w:sz w:val="26"/>
        </w:rPr>
        <w:t>(МКУ "Администрация г. Пыть-Яха")</w:t>
      </w:r>
    </w:p>
    <w:p w:rsidR="00D112AE" w:rsidRDefault="00D112AE">
      <w:pPr>
        <w:jc w:val="center"/>
        <w:rPr>
          <w:sz w:val="28"/>
        </w:rPr>
      </w:pPr>
    </w:p>
    <w:p w:rsidR="00D112AE" w:rsidRDefault="00622A26">
      <w:pPr>
        <w:jc w:val="center"/>
        <w:rPr>
          <w:sz w:val="26"/>
        </w:rPr>
      </w:pPr>
      <w:bookmarkStart w:id="0" w:name="_Toc259963750"/>
      <w:r>
        <w:rPr>
          <w:sz w:val="26"/>
        </w:rPr>
        <w:t>Управление по экономике</w:t>
      </w:r>
      <w:bookmarkEnd w:id="0"/>
    </w:p>
    <w:p w:rsidR="00D112AE" w:rsidRDefault="00622A26">
      <w:pPr>
        <w:jc w:val="center"/>
        <w:rPr>
          <w:sz w:val="26"/>
        </w:rPr>
      </w:pPr>
      <w:bookmarkStart w:id="1" w:name="_Toc259963751"/>
      <w:r>
        <w:rPr>
          <w:sz w:val="26"/>
        </w:rPr>
        <w:t xml:space="preserve">Отдел экономического </w:t>
      </w:r>
      <w:bookmarkEnd w:id="1"/>
      <w:r>
        <w:rPr>
          <w:sz w:val="26"/>
        </w:rPr>
        <w:t>анализа и прогнозирования</w:t>
      </w:r>
    </w:p>
    <w:p w:rsidR="00D112AE" w:rsidRDefault="00D112AE">
      <w:pPr>
        <w:jc w:val="center"/>
        <w:rPr>
          <w:sz w:val="28"/>
        </w:rPr>
      </w:pPr>
    </w:p>
    <w:p w:rsidR="00D112AE" w:rsidRDefault="00D112AE">
      <w:pPr>
        <w:jc w:val="center"/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622A26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ИТОГИ </w:t>
      </w:r>
    </w:p>
    <w:p w:rsidR="00D112AE" w:rsidRDefault="00622A26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СОЦИАЛЬНО – ЭКОНОМИЧЕСКОГО РАЗВИТИЯ </w:t>
      </w:r>
    </w:p>
    <w:p w:rsidR="00D112AE" w:rsidRDefault="00622A26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муниципального образования городской округ </w:t>
      </w:r>
    </w:p>
    <w:p w:rsidR="00D112AE" w:rsidRDefault="00622A26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город ПЫТЬ-ЯХ </w:t>
      </w:r>
    </w:p>
    <w:p w:rsidR="00D112AE" w:rsidRDefault="00622A26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 за </w:t>
      </w:r>
      <w:r w:rsidR="00D127F1">
        <w:rPr>
          <w:b/>
          <w:sz w:val="32"/>
        </w:rPr>
        <w:t>2020 год</w:t>
      </w: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rPr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4"/>
        </w:rPr>
      </w:pPr>
    </w:p>
    <w:p w:rsidR="00D112AE" w:rsidRDefault="00D112AE">
      <w:pPr>
        <w:pStyle w:val="a3"/>
        <w:ind w:firstLine="720"/>
        <w:jc w:val="center"/>
        <w:rPr>
          <w:b/>
          <w:sz w:val="26"/>
        </w:rPr>
      </w:pPr>
    </w:p>
    <w:p w:rsidR="00D112AE" w:rsidRDefault="00622A26">
      <w:pPr>
        <w:jc w:val="center"/>
        <w:rPr>
          <w:b/>
          <w:sz w:val="24"/>
        </w:rPr>
      </w:pPr>
      <w:bookmarkStart w:id="2" w:name="_Toc259963752"/>
      <w:r>
        <w:rPr>
          <w:b/>
          <w:sz w:val="24"/>
        </w:rPr>
        <w:t>г. Пыть-Ях</w:t>
      </w:r>
      <w:bookmarkEnd w:id="2"/>
    </w:p>
    <w:p w:rsidR="00D112AE" w:rsidRDefault="00622A26">
      <w:pPr>
        <w:pStyle w:val="a3"/>
        <w:jc w:val="center"/>
        <w:rPr>
          <w:b/>
          <w:sz w:val="26"/>
        </w:rPr>
      </w:pPr>
      <w:r>
        <w:rPr>
          <w:b/>
          <w:sz w:val="26"/>
        </w:rPr>
        <w:t>202</w:t>
      </w:r>
      <w:r w:rsidR="00D127F1">
        <w:rPr>
          <w:b/>
          <w:sz w:val="26"/>
        </w:rPr>
        <w:t xml:space="preserve">1 </w:t>
      </w:r>
      <w:r>
        <w:rPr>
          <w:b/>
          <w:sz w:val="26"/>
        </w:rPr>
        <w:t>год</w:t>
      </w:r>
    </w:p>
    <w:p w:rsidR="00D112AE" w:rsidRDefault="00D112AE">
      <w:pPr>
        <w:pStyle w:val="xl24"/>
        <w:spacing w:before="0" w:after="0"/>
        <w:rPr>
          <w:rFonts w:ascii="Times New Roman" w:hAnsi="Times New Roman"/>
          <w:sz w:val="26"/>
        </w:rPr>
      </w:pPr>
    </w:p>
    <w:p w:rsidR="00D112AE" w:rsidRDefault="00D112AE">
      <w:pPr>
        <w:pStyle w:val="xl24"/>
        <w:spacing w:before="0" w:after="0"/>
        <w:jc w:val="center"/>
        <w:rPr>
          <w:rFonts w:ascii="Times New Roman" w:hAnsi="Times New Roman"/>
          <w:sz w:val="26"/>
        </w:rPr>
      </w:pPr>
    </w:p>
    <w:p w:rsidR="00D112AE" w:rsidRDefault="00622A26">
      <w:pPr>
        <w:pStyle w:val="xl24"/>
        <w:spacing w:before="0"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Оглавление:  </w:t>
      </w:r>
    </w:p>
    <w:p w:rsidR="00D112AE" w:rsidRDefault="00D112AE">
      <w:pPr>
        <w:pStyle w:val="xl24"/>
        <w:spacing w:before="0" w:after="0"/>
        <w:jc w:val="center"/>
        <w:rPr>
          <w:rFonts w:ascii="Times New Roman" w:hAnsi="Times New Roman"/>
          <w:sz w:val="26"/>
        </w:rPr>
      </w:pPr>
    </w:p>
    <w:bookmarkStart w:id="3" w:name="_Toc133723826"/>
    <w:p w:rsidR="00D112AE" w:rsidRDefault="00622A26">
      <w:pPr>
        <w:pStyle w:val="12"/>
        <w:rPr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8078024" w:history="1">
        <w:r>
          <w:rPr>
            <w:rStyle w:val="afd"/>
            <w:color w:val="auto"/>
          </w:rPr>
          <w:t>Промышленность</w:t>
        </w:r>
        <w:r>
          <w:tab/>
        </w:r>
        <w:r>
          <w:fldChar w:fldCharType="begin"/>
        </w:r>
        <w:r>
          <w:instrText xml:space="preserve"> PAGEREF _Toc528078024 \h </w:instrText>
        </w:r>
        <w:r>
          <w:fldChar w:fldCharType="separate"/>
        </w:r>
        <w:r w:rsidR="0036420E">
          <w:t>3</w:t>
        </w:r>
        <w:r>
          <w:fldChar w:fldCharType="end"/>
        </w:r>
      </w:hyperlink>
    </w:p>
    <w:p w:rsidR="00D112AE" w:rsidRDefault="00D5565B">
      <w:pPr>
        <w:pStyle w:val="12"/>
        <w:rPr>
          <w:sz w:val="22"/>
        </w:rPr>
      </w:pPr>
      <w:hyperlink w:anchor="_Toc528078025" w:history="1">
        <w:r w:rsidR="00622A26">
          <w:rPr>
            <w:rStyle w:val="afd"/>
            <w:color w:val="auto"/>
          </w:rPr>
          <w:t>Агропромышленный комплекс</w:t>
        </w:r>
        <w:r w:rsidR="00622A26">
          <w:tab/>
        </w:r>
        <w:r w:rsidR="00622A26">
          <w:fldChar w:fldCharType="begin"/>
        </w:r>
        <w:r w:rsidR="00622A26">
          <w:instrText xml:space="preserve"> PAGEREF _Toc528078025 \h </w:instrText>
        </w:r>
        <w:r w:rsidR="00622A26">
          <w:fldChar w:fldCharType="separate"/>
        </w:r>
        <w:r w:rsidR="0036420E">
          <w:t>4</w:t>
        </w:r>
        <w:r w:rsidR="00622A26">
          <w:fldChar w:fldCharType="end"/>
        </w:r>
      </w:hyperlink>
    </w:p>
    <w:p w:rsidR="00D112AE" w:rsidRDefault="00D5565B">
      <w:pPr>
        <w:pStyle w:val="12"/>
        <w:rPr>
          <w:sz w:val="22"/>
        </w:rPr>
      </w:pPr>
      <w:hyperlink w:anchor="_Toc528078026" w:history="1">
        <w:r w:rsidR="00622A26">
          <w:rPr>
            <w:rStyle w:val="afd"/>
            <w:color w:val="auto"/>
          </w:rPr>
          <w:t>Потребительский рынок</w:t>
        </w:r>
        <w:r w:rsidR="00622A26">
          <w:tab/>
        </w:r>
        <w:r w:rsidR="00622A26">
          <w:fldChar w:fldCharType="begin"/>
        </w:r>
        <w:r w:rsidR="00622A26">
          <w:instrText xml:space="preserve"> PAGEREF _Toc528078026 \h </w:instrText>
        </w:r>
        <w:r w:rsidR="00622A26">
          <w:fldChar w:fldCharType="separate"/>
        </w:r>
        <w:r w:rsidR="0036420E">
          <w:t>5</w:t>
        </w:r>
        <w:r w:rsidR="00622A26">
          <w:fldChar w:fldCharType="end"/>
        </w:r>
      </w:hyperlink>
    </w:p>
    <w:p w:rsidR="00D112AE" w:rsidRDefault="00D5565B">
      <w:pPr>
        <w:pStyle w:val="26"/>
        <w:rPr>
          <w:sz w:val="22"/>
        </w:rPr>
      </w:pPr>
      <w:hyperlink w:anchor="_Toc528078027" w:history="1">
        <w:r w:rsidR="00622A26">
          <w:rPr>
            <w:rStyle w:val="afd"/>
            <w:color w:val="auto"/>
          </w:rPr>
          <w:t>Развитие конкуренции на потребительском рынке</w:t>
        </w:r>
        <w:r w:rsidR="00622A26">
          <w:tab/>
        </w:r>
        <w:r w:rsidR="00622A26">
          <w:fldChar w:fldCharType="begin"/>
        </w:r>
        <w:r w:rsidR="00622A26">
          <w:instrText xml:space="preserve"> PAGEREF _Toc528078027 \h </w:instrText>
        </w:r>
        <w:r w:rsidR="00622A26">
          <w:fldChar w:fldCharType="separate"/>
        </w:r>
        <w:r w:rsidR="0036420E">
          <w:t>6</w:t>
        </w:r>
        <w:r w:rsidR="00622A26">
          <w:fldChar w:fldCharType="end"/>
        </w:r>
      </w:hyperlink>
    </w:p>
    <w:p w:rsidR="00D112AE" w:rsidRDefault="00D5565B">
      <w:pPr>
        <w:pStyle w:val="26"/>
        <w:rPr>
          <w:sz w:val="22"/>
        </w:rPr>
      </w:pPr>
      <w:hyperlink w:anchor="_Toc528078028" w:history="1">
        <w:r w:rsidR="00622A26">
          <w:rPr>
            <w:rStyle w:val="afd"/>
            <w:color w:val="auto"/>
          </w:rPr>
          <w:t>Уровень инфляции и анализ изменения розничных цен</w:t>
        </w:r>
        <w:r w:rsidR="00622A26">
          <w:tab/>
        </w:r>
      </w:hyperlink>
      <w:r w:rsidR="00622A26">
        <w:t>6</w:t>
      </w:r>
    </w:p>
    <w:p w:rsidR="00D112AE" w:rsidRDefault="00D5565B">
      <w:pPr>
        <w:pStyle w:val="12"/>
        <w:rPr>
          <w:rStyle w:val="afd"/>
          <w:color w:val="auto"/>
        </w:rPr>
      </w:pPr>
      <w:hyperlink w:anchor="_Toc528078029" w:history="1">
        <w:r w:rsidR="00622A26">
          <w:rPr>
            <w:rStyle w:val="afd"/>
            <w:color w:val="auto"/>
          </w:rPr>
          <w:t>Транспорт и связь</w:t>
        </w:r>
        <w:r w:rsidR="00622A26">
          <w:tab/>
          <w:t>8</w:t>
        </w:r>
      </w:hyperlink>
    </w:p>
    <w:p w:rsidR="00D112AE" w:rsidRDefault="00622A26">
      <w:pPr>
        <w:rPr>
          <w:sz w:val="26"/>
        </w:rPr>
      </w:pPr>
      <w:r>
        <w:rPr>
          <w:sz w:val="26"/>
        </w:rPr>
        <w:t>Охрана окружающей среды……………………………………………………………9</w:t>
      </w:r>
    </w:p>
    <w:p w:rsidR="00D112AE" w:rsidRDefault="00622A26">
      <w:pPr>
        <w:rPr>
          <w:sz w:val="26"/>
        </w:rPr>
      </w:pPr>
      <w:r>
        <w:rPr>
          <w:sz w:val="26"/>
        </w:rPr>
        <w:t>Финансы</w:t>
      </w:r>
      <w:r>
        <w:t>…………………………………………………………………………………………………………</w:t>
      </w:r>
      <w:r>
        <w:rPr>
          <w:sz w:val="26"/>
        </w:rPr>
        <w:t>10</w:t>
      </w:r>
    </w:p>
    <w:p w:rsidR="00D112AE" w:rsidRDefault="00622A26">
      <w:pPr>
        <w:rPr>
          <w:sz w:val="26"/>
        </w:rPr>
      </w:pPr>
      <w:r>
        <w:rPr>
          <w:sz w:val="26"/>
        </w:rPr>
        <w:t>Отрасли социальной сферы……………………………………………………………11</w:t>
      </w:r>
    </w:p>
    <w:p w:rsidR="00D112AE" w:rsidRDefault="00622A26">
      <w:pPr>
        <w:rPr>
          <w:sz w:val="26"/>
        </w:rPr>
      </w:pPr>
      <w:r>
        <w:t xml:space="preserve">    Демографическая ситуация……………………………………………………………………………………..</w:t>
      </w:r>
      <w:r>
        <w:rPr>
          <w:sz w:val="26"/>
        </w:rPr>
        <w:t>11</w:t>
      </w:r>
    </w:p>
    <w:p w:rsidR="00D112AE" w:rsidRDefault="00622A26">
      <w:r>
        <w:t xml:space="preserve">    Труд и занятость………………………………………………………………………………………………...11</w:t>
      </w:r>
    </w:p>
    <w:p w:rsidR="00D112AE" w:rsidRDefault="00D5565B">
      <w:pPr>
        <w:pStyle w:val="26"/>
        <w:rPr>
          <w:sz w:val="22"/>
        </w:rPr>
      </w:pPr>
      <w:hyperlink w:anchor="_Toc528078030" w:history="1">
        <w:r w:rsidR="00622A26">
          <w:rPr>
            <w:rStyle w:val="afd"/>
            <w:color w:val="auto"/>
          </w:rPr>
          <w:t>Образование и молодежная политика</w:t>
        </w:r>
        <w:r w:rsidR="00622A26">
          <w:tab/>
          <w:t>12</w:t>
        </w:r>
      </w:hyperlink>
    </w:p>
    <w:p w:rsidR="00D112AE" w:rsidRDefault="00D5565B">
      <w:pPr>
        <w:pStyle w:val="26"/>
        <w:rPr>
          <w:sz w:val="22"/>
        </w:rPr>
      </w:pPr>
      <w:hyperlink w:anchor="_Toc528078031" w:history="1">
        <w:r w:rsidR="00622A26">
          <w:rPr>
            <w:rStyle w:val="afd"/>
            <w:color w:val="auto"/>
          </w:rPr>
          <w:t>Здравоохранение</w:t>
        </w:r>
        <w:r w:rsidR="00622A26">
          <w:tab/>
        </w:r>
        <w:r w:rsidR="00622A26">
          <w:fldChar w:fldCharType="begin"/>
        </w:r>
        <w:r w:rsidR="00622A26">
          <w:instrText xml:space="preserve"> PAGEREF _Toc528078031 \h </w:instrText>
        </w:r>
        <w:r w:rsidR="00622A26">
          <w:fldChar w:fldCharType="separate"/>
        </w:r>
        <w:r w:rsidR="0036420E">
          <w:t>14</w:t>
        </w:r>
        <w:r w:rsidR="00622A26">
          <w:fldChar w:fldCharType="end"/>
        </w:r>
      </w:hyperlink>
    </w:p>
    <w:p w:rsidR="00D112AE" w:rsidRDefault="00D5565B">
      <w:pPr>
        <w:pStyle w:val="26"/>
        <w:rPr>
          <w:sz w:val="22"/>
        </w:rPr>
      </w:pPr>
      <w:hyperlink w:anchor="_Toc528078032" w:history="1">
        <w:r w:rsidR="00622A26">
          <w:rPr>
            <w:rStyle w:val="afd"/>
            <w:color w:val="auto"/>
          </w:rPr>
          <w:t>Культура и искусство</w:t>
        </w:r>
        <w:r w:rsidR="00622A26">
          <w:tab/>
        </w:r>
        <w:r w:rsidR="00622A26">
          <w:fldChar w:fldCharType="begin"/>
        </w:r>
        <w:r w:rsidR="00622A26">
          <w:instrText xml:space="preserve"> PAGEREF _Toc528078032 \h </w:instrText>
        </w:r>
        <w:r w:rsidR="00622A26">
          <w:fldChar w:fldCharType="separate"/>
        </w:r>
        <w:r w:rsidR="0036420E">
          <w:t>15</w:t>
        </w:r>
        <w:r w:rsidR="00622A26">
          <w:fldChar w:fldCharType="end"/>
        </w:r>
      </w:hyperlink>
    </w:p>
    <w:p w:rsidR="00D112AE" w:rsidRDefault="00622A26">
      <w:pPr>
        <w:pStyle w:val="26"/>
        <w:rPr>
          <w:rStyle w:val="afd"/>
          <w:color w:val="auto"/>
          <w:u w:val="none"/>
        </w:rPr>
      </w:pPr>
      <w:r>
        <w:rPr>
          <w:rStyle w:val="afd"/>
          <w:color w:val="auto"/>
          <w:u w:val="none"/>
        </w:rPr>
        <w:t>Социальная защита населения…………………………………………………………………………………16</w:t>
      </w:r>
    </w:p>
    <w:p w:rsidR="00D112AE" w:rsidRDefault="00D5565B">
      <w:pPr>
        <w:pStyle w:val="26"/>
        <w:rPr>
          <w:sz w:val="22"/>
        </w:rPr>
      </w:pPr>
      <w:hyperlink w:anchor="_Toc528078033" w:history="1">
        <w:r w:rsidR="00622A26">
          <w:rPr>
            <w:rStyle w:val="afd"/>
            <w:color w:val="auto"/>
          </w:rPr>
          <w:t>Физическая культура и спорт</w:t>
        </w:r>
        <w:r w:rsidR="00622A26">
          <w:tab/>
        </w:r>
        <w:r w:rsidR="00622A26">
          <w:fldChar w:fldCharType="begin"/>
        </w:r>
        <w:r w:rsidR="00622A26">
          <w:instrText xml:space="preserve"> PAGEREF _Toc528078033 \h </w:instrText>
        </w:r>
        <w:r w:rsidR="00622A26">
          <w:fldChar w:fldCharType="separate"/>
        </w:r>
        <w:r w:rsidR="0036420E">
          <w:t>15</w:t>
        </w:r>
        <w:r w:rsidR="00622A26">
          <w:fldChar w:fldCharType="end"/>
        </w:r>
      </w:hyperlink>
    </w:p>
    <w:p w:rsidR="00D112AE" w:rsidRDefault="00D5565B">
      <w:pPr>
        <w:pStyle w:val="12"/>
        <w:rPr>
          <w:sz w:val="22"/>
        </w:rPr>
      </w:pPr>
      <w:hyperlink w:anchor="_Toc528078034" w:history="1">
        <w:r w:rsidR="00622A26">
          <w:rPr>
            <w:rStyle w:val="afd"/>
            <w:color w:val="auto"/>
          </w:rPr>
          <w:t>Жилищно-коммунальный комплекс</w:t>
        </w:r>
        <w:r w:rsidR="00622A26">
          <w:tab/>
        </w:r>
        <w:r w:rsidR="00622A26">
          <w:fldChar w:fldCharType="begin"/>
        </w:r>
        <w:r w:rsidR="00622A26">
          <w:instrText xml:space="preserve"> PAGEREF _Toc528078034 \h </w:instrText>
        </w:r>
        <w:r w:rsidR="00622A26">
          <w:fldChar w:fldCharType="separate"/>
        </w:r>
        <w:r w:rsidR="0036420E">
          <w:t>18</w:t>
        </w:r>
        <w:r w:rsidR="00622A26">
          <w:fldChar w:fldCharType="end"/>
        </w:r>
      </w:hyperlink>
    </w:p>
    <w:p w:rsidR="00D112AE" w:rsidRDefault="00D5565B">
      <w:pPr>
        <w:pStyle w:val="12"/>
        <w:rPr>
          <w:sz w:val="22"/>
        </w:rPr>
      </w:pPr>
      <w:hyperlink w:anchor="_Toc528078035" w:history="1">
        <w:r w:rsidR="00622A26">
          <w:rPr>
            <w:rStyle w:val="afd"/>
            <w:color w:val="auto"/>
          </w:rPr>
          <w:t>Малое предпринимательство</w:t>
        </w:r>
        <w:r w:rsidR="00622A26">
          <w:tab/>
          <w:t>2</w:t>
        </w:r>
        <w:r w:rsidR="005D5A77">
          <w:t>1</w:t>
        </w:r>
      </w:hyperlink>
    </w:p>
    <w:p w:rsidR="00D112AE" w:rsidRDefault="00D5565B">
      <w:pPr>
        <w:pStyle w:val="12"/>
      </w:pPr>
      <w:hyperlink w:anchor="_Toc528078039" w:history="1">
        <w:r w:rsidR="00622A26">
          <w:rPr>
            <w:rStyle w:val="afd"/>
            <w:color w:val="auto"/>
          </w:rPr>
          <w:t>Управление и структура муниципальной собственности</w:t>
        </w:r>
        <w:r w:rsidR="00622A26">
          <w:tab/>
        </w:r>
      </w:hyperlink>
      <w:r w:rsidR="00622A26">
        <w:t>2</w:t>
      </w:r>
      <w:r w:rsidR="008803DB">
        <w:t>4</w:t>
      </w:r>
    </w:p>
    <w:p w:rsidR="008803DB" w:rsidRPr="008803DB" w:rsidRDefault="008803DB" w:rsidP="008803DB">
      <w:pPr>
        <w:rPr>
          <w:sz w:val="26"/>
          <w:szCs w:val="26"/>
        </w:rPr>
      </w:pPr>
      <w:r>
        <w:rPr>
          <w:sz w:val="26"/>
          <w:szCs w:val="26"/>
        </w:rPr>
        <w:t xml:space="preserve">Земельные </w:t>
      </w:r>
      <w:r w:rsidRPr="008803DB">
        <w:rPr>
          <w:sz w:val="26"/>
          <w:szCs w:val="26"/>
        </w:rPr>
        <w:t>отношения……………………………………………</w:t>
      </w:r>
      <w:r>
        <w:rPr>
          <w:sz w:val="26"/>
          <w:szCs w:val="26"/>
        </w:rPr>
        <w:t>..</w:t>
      </w:r>
      <w:r w:rsidRPr="008803DB">
        <w:rPr>
          <w:sz w:val="26"/>
          <w:szCs w:val="26"/>
        </w:rPr>
        <w:t>………………….25</w:t>
      </w:r>
    </w:p>
    <w:p w:rsidR="00D112AE" w:rsidRDefault="00D5565B">
      <w:pPr>
        <w:pStyle w:val="12"/>
        <w:rPr>
          <w:sz w:val="22"/>
        </w:rPr>
      </w:pPr>
      <w:hyperlink w:anchor="_Toc528078036" w:history="1">
        <w:r w:rsidR="00622A26">
          <w:rPr>
            <w:rStyle w:val="afd"/>
            <w:color w:val="auto"/>
          </w:rPr>
          <w:t>Инвестиции, строительство</w:t>
        </w:r>
        <w:r w:rsidR="00622A26">
          <w:tab/>
        </w:r>
      </w:hyperlink>
      <w:r w:rsidR="00622A26">
        <w:t>2</w:t>
      </w:r>
      <w:r w:rsidR="008803DB">
        <w:t>5</w:t>
      </w:r>
      <w:r w:rsidR="00BF3BC1">
        <w:rPr>
          <w:sz w:val="22"/>
        </w:rPr>
        <w:t xml:space="preserve"> </w:t>
      </w:r>
    </w:p>
    <w:p w:rsidR="00D112AE" w:rsidRDefault="00D5565B">
      <w:pPr>
        <w:pStyle w:val="12"/>
        <w:rPr>
          <w:sz w:val="22"/>
        </w:rPr>
      </w:pPr>
      <w:hyperlink w:anchor="_Toc528078044" w:history="1">
        <w:r w:rsidR="00622A26">
          <w:rPr>
            <w:rStyle w:val="afd"/>
            <w:color w:val="auto"/>
          </w:rPr>
          <w:t>Современные информационные и телекоммуникационные технологии,</w:t>
        </w:r>
      </w:hyperlink>
    </w:p>
    <w:p w:rsidR="00D112AE" w:rsidRDefault="00D5565B">
      <w:pPr>
        <w:pStyle w:val="12"/>
        <w:rPr>
          <w:sz w:val="22"/>
        </w:rPr>
      </w:pPr>
      <w:hyperlink w:anchor="_Toc528078045" w:history="1">
        <w:r w:rsidR="00622A26">
          <w:rPr>
            <w:rStyle w:val="afd"/>
            <w:color w:val="auto"/>
          </w:rPr>
          <w:t>электронные услуги</w:t>
        </w:r>
        <w:r w:rsidR="00622A26">
          <w:tab/>
        </w:r>
        <w:r w:rsidR="00622A26">
          <w:fldChar w:fldCharType="begin"/>
        </w:r>
        <w:r w:rsidR="00622A26">
          <w:instrText xml:space="preserve"> PAGEREF _Toc528078045 \h </w:instrText>
        </w:r>
        <w:r w:rsidR="00622A26">
          <w:fldChar w:fldCharType="separate"/>
        </w:r>
        <w:r w:rsidR="0036420E">
          <w:t>26</w:t>
        </w:r>
        <w:r w:rsidR="00622A26">
          <w:fldChar w:fldCharType="end"/>
        </w:r>
      </w:hyperlink>
    </w:p>
    <w:p w:rsidR="00D112AE" w:rsidRDefault="00D5565B">
      <w:pPr>
        <w:pStyle w:val="12"/>
        <w:rPr>
          <w:sz w:val="22"/>
        </w:rPr>
      </w:pPr>
      <w:hyperlink w:anchor="_Toc528078046" w:history="1">
        <w:r w:rsidR="00622A26">
          <w:rPr>
            <w:rStyle w:val="afd"/>
            <w:color w:val="auto"/>
          </w:rPr>
          <w:t>Влияние органов местного самоуправления</w:t>
        </w:r>
        <w:r w:rsidR="00622A26">
          <w:tab/>
        </w:r>
        <w:r w:rsidR="00622A26">
          <w:fldChar w:fldCharType="begin"/>
        </w:r>
        <w:r w:rsidR="00622A26">
          <w:instrText xml:space="preserve"> PAGEREF _Toc528078046 \h </w:instrText>
        </w:r>
        <w:r w:rsidR="00622A26">
          <w:fldChar w:fldCharType="separate"/>
        </w:r>
        <w:r w:rsidR="0036420E">
          <w:t>26</w:t>
        </w:r>
        <w:r w:rsidR="00622A26">
          <w:fldChar w:fldCharType="end"/>
        </w:r>
      </w:hyperlink>
    </w:p>
    <w:p w:rsidR="00D112AE" w:rsidRDefault="00D5565B">
      <w:pPr>
        <w:pStyle w:val="12"/>
        <w:rPr>
          <w:sz w:val="22"/>
        </w:rPr>
      </w:pPr>
      <w:hyperlink w:anchor="_Toc528078047" w:history="1">
        <w:r w:rsidR="00622A26">
          <w:rPr>
            <w:rStyle w:val="afd"/>
            <w:color w:val="auto"/>
          </w:rPr>
          <w:t>на развитие социально-экономической ситуации</w:t>
        </w:r>
        <w:r w:rsidR="00622A26">
          <w:tab/>
        </w:r>
        <w:r w:rsidR="00622A26">
          <w:fldChar w:fldCharType="begin"/>
        </w:r>
        <w:r w:rsidR="00622A26">
          <w:instrText xml:space="preserve"> PAGEREF _Toc528078047 \h </w:instrText>
        </w:r>
        <w:r w:rsidR="00622A26">
          <w:fldChar w:fldCharType="separate"/>
        </w:r>
        <w:r w:rsidR="0036420E">
          <w:t>26</w:t>
        </w:r>
        <w:r w:rsidR="00622A26">
          <w:fldChar w:fldCharType="end"/>
        </w:r>
      </w:hyperlink>
    </w:p>
    <w:p w:rsidR="00D112AE" w:rsidRDefault="00622A26">
      <w:pPr>
        <w:jc w:val="both"/>
        <w:rPr>
          <w:sz w:val="26"/>
        </w:rPr>
      </w:pPr>
      <w:r>
        <w:rPr>
          <w:sz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D112AE" w:rsidRDefault="00D112AE">
      <w:pPr>
        <w:jc w:val="both"/>
        <w:rPr>
          <w:sz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Default="00D112AE"/>
    <w:p w:rsidR="00D112AE" w:rsidRPr="00C243EA" w:rsidRDefault="00622A26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 </w:t>
      </w:r>
      <w:bookmarkStart w:id="29" w:name="_Toc528078024"/>
      <w:r w:rsidRPr="00C243EA">
        <w:rPr>
          <w:rFonts w:ascii="Times New Roman" w:hAnsi="Times New Roman"/>
          <w:b w:val="0"/>
          <w:sz w:val="26"/>
        </w:rPr>
        <w:t>Промышленность</w:t>
      </w:r>
      <w:bookmarkEnd w:id="26"/>
      <w:bookmarkEnd w:id="29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suppressAutoHyphens/>
        <w:ind w:firstLine="540"/>
        <w:jc w:val="both"/>
        <w:rPr>
          <w:sz w:val="26"/>
        </w:rPr>
      </w:pPr>
      <w:r w:rsidRPr="00C243EA">
        <w:rPr>
          <w:sz w:val="26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Отгружено товаров собственного производства, выполнено работ (услуг) (без субъектов малого предпринимательства) по прогнозным данным за </w:t>
      </w:r>
      <w:r w:rsidR="00D9596C" w:rsidRPr="00C243EA">
        <w:rPr>
          <w:sz w:val="26"/>
        </w:rPr>
        <w:t>2020 год</w:t>
      </w:r>
      <w:r w:rsidRPr="00C243EA">
        <w:rPr>
          <w:sz w:val="26"/>
        </w:rPr>
        <w:t xml:space="preserve"> </w:t>
      </w:r>
      <w:r w:rsidR="00D9596C" w:rsidRPr="00C243EA">
        <w:rPr>
          <w:sz w:val="26"/>
        </w:rPr>
        <w:t>21 514,9</w:t>
      </w:r>
      <w:r w:rsidRPr="00C243EA">
        <w:rPr>
          <w:sz w:val="26"/>
        </w:rPr>
        <w:t xml:space="preserve"> млн. рублей или </w:t>
      </w:r>
      <w:r w:rsidR="00D9596C" w:rsidRPr="00C243EA">
        <w:rPr>
          <w:sz w:val="26"/>
        </w:rPr>
        <w:t>102,3</w:t>
      </w:r>
      <w:r w:rsidRPr="00C243EA">
        <w:rPr>
          <w:sz w:val="26"/>
        </w:rPr>
        <w:t xml:space="preserve">% к </w:t>
      </w:r>
      <w:r w:rsidR="00D9596C" w:rsidRPr="00C243EA">
        <w:rPr>
          <w:sz w:val="26"/>
        </w:rPr>
        <w:t>2019 году</w:t>
      </w:r>
      <w:r w:rsidRPr="00C243EA">
        <w:rPr>
          <w:sz w:val="26"/>
        </w:rPr>
        <w:t xml:space="preserve"> (</w:t>
      </w:r>
      <w:r w:rsidR="00D9596C" w:rsidRPr="00C243EA">
        <w:rPr>
          <w:sz w:val="26"/>
        </w:rPr>
        <w:t>21 029,7</w:t>
      </w:r>
      <w:r w:rsidR="00F27B7C" w:rsidRPr="00C243EA">
        <w:rPr>
          <w:sz w:val="26"/>
        </w:rPr>
        <w:t xml:space="preserve"> </w:t>
      </w:r>
      <w:r w:rsidRPr="00C243EA">
        <w:rPr>
          <w:sz w:val="26"/>
        </w:rPr>
        <w:t>млн. руб.).</w:t>
      </w:r>
    </w:p>
    <w:p w:rsidR="00D112AE" w:rsidRPr="00C243EA" w:rsidRDefault="00D112AE">
      <w:pPr>
        <w:jc w:val="both"/>
        <w:rPr>
          <w:sz w:val="26"/>
        </w:rPr>
      </w:pPr>
    </w:p>
    <w:p w:rsidR="00D112AE" w:rsidRPr="00C243EA" w:rsidRDefault="000B1994">
      <w:pPr>
        <w:jc w:val="both"/>
        <w:rPr>
          <w:sz w:val="26"/>
        </w:rPr>
      </w:pPr>
      <w:r w:rsidRPr="00C243EA">
        <w:rPr>
          <w:noProof/>
          <w:sz w:val="26"/>
        </w:rPr>
        <w:drawing>
          <wp:inline distT="0" distB="0" distL="0" distR="0" wp14:anchorId="6D2DF104" wp14:editId="16841546">
            <wp:extent cx="6105525" cy="32766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12AE" w:rsidRPr="00C243EA" w:rsidRDefault="008E703E">
      <w:pPr>
        <w:jc w:val="both"/>
        <w:rPr>
          <w:sz w:val="26"/>
        </w:rPr>
      </w:pPr>
      <w:r w:rsidRPr="00C243EA">
        <w:rPr>
          <w:sz w:val="26"/>
        </w:rPr>
        <w:t xml:space="preserve"> </w:t>
      </w:r>
    </w:p>
    <w:p w:rsidR="00D112AE" w:rsidRPr="00C243EA" w:rsidRDefault="00D112AE">
      <w:pPr>
        <w:ind w:firstLine="708"/>
        <w:jc w:val="both"/>
        <w:rPr>
          <w:sz w:val="26"/>
        </w:rPr>
      </w:pP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Добыча полезных ископаемых - за </w:t>
      </w:r>
      <w:r w:rsidR="00D9596C" w:rsidRPr="00C243EA">
        <w:rPr>
          <w:sz w:val="26"/>
        </w:rPr>
        <w:t>2020 год</w:t>
      </w:r>
      <w:r w:rsidRPr="00C243EA">
        <w:rPr>
          <w:sz w:val="26"/>
        </w:rPr>
        <w:t xml:space="preserve"> объем оказанных услуг по оценочным данным составил </w:t>
      </w:r>
      <w:r w:rsidR="00D9596C" w:rsidRPr="00C243EA">
        <w:rPr>
          <w:sz w:val="26"/>
        </w:rPr>
        <w:t>15 718,3</w:t>
      </w:r>
      <w:r w:rsidR="00497FDD" w:rsidRPr="00C243EA">
        <w:rPr>
          <w:sz w:val="26"/>
        </w:rPr>
        <w:t xml:space="preserve"> млн.руб., </w:t>
      </w:r>
      <w:r w:rsidR="00D9596C" w:rsidRPr="00C243EA">
        <w:rPr>
          <w:sz w:val="26"/>
        </w:rPr>
        <w:t>73</w:t>
      </w:r>
      <w:r w:rsidRPr="00C243EA">
        <w:rPr>
          <w:sz w:val="26"/>
        </w:rPr>
        <w:t xml:space="preserve">% от общего объема промышленного производства (2019 г. – </w:t>
      </w:r>
      <w:r w:rsidR="00D9596C" w:rsidRPr="00C243EA">
        <w:rPr>
          <w:sz w:val="26"/>
        </w:rPr>
        <w:t>15 234,6</w:t>
      </w:r>
      <w:r w:rsidRPr="00C243EA">
        <w:rPr>
          <w:sz w:val="26"/>
        </w:rPr>
        <w:t xml:space="preserve"> млн. рублей).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Обрабатывающие производства составляют </w:t>
      </w:r>
      <w:r w:rsidR="00D9596C" w:rsidRPr="00C243EA">
        <w:rPr>
          <w:sz w:val="26"/>
        </w:rPr>
        <w:t>21,3</w:t>
      </w:r>
      <w:r w:rsidRPr="00C243EA">
        <w:rPr>
          <w:sz w:val="26"/>
        </w:rPr>
        <w:t xml:space="preserve">% от общего объема промышленного производства, это </w:t>
      </w:r>
      <w:r w:rsidR="00D9596C" w:rsidRPr="00C243EA">
        <w:rPr>
          <w:sz w:val="26"/>
        </w:rPr>
        <w:t>4 588,4</w:t>
      </w:r>
      <w:r w:rsidRPr="00C243EA">
        <w:rPr>
          <w:sz w:val="26"/>
        </w:rPr>
        <w:t xml:space="preserve"> млн. руб.</w:t>
      </w:r>
      <w:r w:rsidR="005446E8" w:rsidRPr="00C243EA">
        <w:rPr>
          <w:sz w:val="26"/>
        </w:rPr>
        <w:t xml:space="preserve">  (</w:t>
      </w:r>
      <w:r w:rsidRPr="00C243EA">
        <w:rPr>
          <w:sz w:val="26"/>
        </w:rPr>
        <w:t xml:space="preserve">2019 г. – </w:t>
      </w:r>
      <w:r w:rsidR="00863A48" w:rsidRPr="00C243EA">
        <w:rPr>
          <w:sz w:val="26"/>
        </w:rPr>
        <w:t>4 279,2</w:t>
      </w:r>
      <w:r w:rsidRPr="00C243EA">
        <w:rPr>
          <w:sz w:val="26"/>
        </w:rPr>
        <w:t xml:space="preserve"> млн. руб.).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Обеспечение электрической энергией, газом и паром, кондиционирование воздуха составляют </w:t>
      </w:r>
      <w:r w:rsidR="00497FDD" w:rsidRPr="00C243EA">
        <w:rPr>
          <w:sz w:val="26"/>
        </w:rPr>
        <w:t>4,</w:t>
      </w:r>
      <w:r w:rsidR="00D9596C" w:rsidRPr="00C243EA">
        <w:rPr>
          <w:sz w:val="26"/>
        </w:rPr>
        <w:t>2</w:t>
      </w:r>
      <w:r w:rsidRPr="00C243EA">
        <w:rPr>
          <w:sz w:val="26"/>
        </w:rPr>
        <w:t xml:space="preserve">% от общего объема промышленного производства. За </w:t>
      </w:r>
      <w:r w:rsidR="00D9596C" w:rsidRPr="00C243EA">
        <w:rPr>
          <w:sz w:val="26"/>
        </w:rPr>
        <w:t>2020 год</w:t>
      </w:r>
      <w:r w:rsidRPr="00C243EA">
        <w:rPr>
          <w:sz w:val="26"/>
        </w:rPr>
        <w:t xml:space="preserve"> объем составил </w:t>
      </w:r>
      <w:r w:rsidR="00D9596C" w:rsidRPr="00C243EA">
        <w:rPr>
          <w:sz w:val="26"/>
        </w:rPr>
        <w:t>904,7</w:t>
      </w:r>
      <w:r w:rsidRPr="00C243EA">
        <w:rPr>
          <w:sz w:val="26"/>
        </w:rPr>
        <w:t xml:space="preserve"> млн.руб.</w:t>
      </w:r>
      <w:r w:rsidR="005446E8" w:rsidRPr="00C243EA">
        <w:rPr>
          <w:sz w:val="26"/>
        </w:rPr>
        <w:t xml:space="preserve"> </w:t>
      </w:r>
      <w:r w:rsidRPr="00C243EA">
        <w:rPr>
          <w:sz w:val="26"/>
        </w:rPr>
        <w:t xml:space="preserve">(2019 г.  – </w:t>
      </w:r>
      <w:r w:rsidR="005446E8" w:rsidRPr="00C243EA">
        <w:rPr>
          <w:sz w:val="26"/>
        </w:rPr>
        <w:t>966,2</w:t>
      </w:r>
      <w:r w:rsidRPr="00C243EA">
        <w:rPr>
          <w:sz w:val="26"/>
        </w:rPr>
        <w:t xml:space="preserve"> млн.руб.).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Водоснабжение, водоотведение, организация сбора и утилизации отходов, деятельность по ликви</w:t>
      </w:r>
      <w:r w:rsidR="00497FDD" w:rsidRPr="00C243EA">
        <w:rPr>
          <w:sz w:val="26"/>
        </w:rPr>
        <w:t>дации загрязнений составляют 1,</w:t>
      </w:r>
      <w:r w:rsidR="00D9596C" w:rsidRPr="00C243EA">
        <w:rPr>
          <w:sz w:val="26"/>
        </w:rPr>
        <w:t>4</w:t>
      </w:r>
      <w:r w:rsidRPr="00C243EA">
        <w:rPr>
          <w:sz w:val="26"/>
        </w:rPr>
        <w:t xml:space="preserve">% от общего объема промышленного производства - это </w:t>
      </w:r>
      <w:r w:rsidR="00D9596C" w:rsidRPr="00C243EA">
        <w:rPr>
          <w:sz w:val="26"/>
        </w:rPr>
        <w:t>303,5</w:t>
      </w:r>
      <w:r w:rsidRPr="00C243EA">
        <w:rPr>
          <w:sz w:val="26"/>
        </w:rPr>
        <w:t xml:space="preserve"> млн.руб. </w:t>
      </w:r>
      <w:r w:rsidR="005446E8" w:rsidRPr="00C243EA">
        <w:rPr>
          <w:sz w:val="26"/>
        </w:rPr>
        <w:t>(2019 г. – 549,7</w:t>
      </w:r>
      <w:r w:rsidR="00DC6C04" w:rsidRPr="00C243EA">
        <w:rPr>
          <w:sz w:val="26"/>
        </w:rPr>
        <w:t xml:space="preserve"> млн.руб.</w:t>
      </w:r>
      <w:r w:rsidR="005446E8" w:rsidRPr="00C243EA">
        <w:rPr>
          <w:sz w:val="26"/>
        </w:rPr>
        <w:t>)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Крупные производители промышленных товаров (услуг) города: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 xml:space="preserve">- </w:t>
      </w:r>
      <w:bookmarkStart w:id="30" w:name="OLE_LINK5"/>
      <w:bookmarkStart w:id="31" w:name="OLE_LINK6"/>
      <w:bookmarkStart w:id="32" w:name="OLE_LINK11"/>
      <w:r w:rsidRPr="00C243EA">
        <w:rPr>
          <w:sz w:val="26"/>
        </w:rPr>
        <w:t xml:space="preserve">«Южно-Балыкский ГПЗ» - филиал АО «СибурТюменьГаз», </w:t>
      </w:r>
      <w:bookmarkEnd w:id="30"/>
      <w:bookmarkEnd w:id="31"/>
      <w:bookmarkEnd w:id="32"/>
      <w:r w:rsidRPr="00C243EA">
        <w:rPr>
          <w:sz w:val="26"/>
        </w:rPr>
        <w:t xml:space="preserve">основной вид деятельности - переработка попутного нефтяного газа нефтяных месторождений ООО «Роснефть-Юганскнефтегаз», с максимальным извлечением целевых углеводородов, являющихся основным сырьем для ЗАО «СИБУР Холдинг». За </w:t>
      </w:r>
      <w:r w:rsidR="00DB1D33" w:rsidRPr="00C243EA">
        <w:rPr>
          <w:sz w:val="26"/>
        </w:rPr>
        <w:t>2020 год</w:t>
      </w:r>
      <w:r w:rsidRPr="00C243EA">
        <w:rPr>
          <w:sz w:val="26"/>
        </w:rPr>
        <w:t xml:space="preserve"> произведено </w:t>
      </w:r>
      <w:r w:rsidR="00C243EA" w:rsidRPr="00C243EA">
        <w:rPr>
          <w:sz w:val="26"/>
        </w:rPr>
        <w:lastRenderedPageBreak/>
        <w:t>6</w:t>
      </w:r>
      <w:r w:rsidR="00DB1D33" w:rsidRPr="00C243EA">
        <w:rPr>
          <w:sz w:val="26"/>
        </w:rPr>
        <w:t>,</w:t>
      </w:r>
      <w:r w:rsidR="00C243EA" w:rsidRPr="00C243EA">
        <w:rPr>
          <w:sz w:val="26"/>
        </w:rPr>
        <w:t>2</w:t>
      </w:r>
      <w:r w:rsidRPr="00C243EA">
        <w:rPr>
          <w:sz w:val="26"/>
        </w:rPr>
        <w:t xml:space="preserve"> млрд. куб.м. с</w:t>
      </w:r>
      <w:r w:rsidR="00A21DA2" w:rsidRPr="00C243EA">
        <w:rPr>
          <w:sz w:val="26"/>
        </w:rPr>
        <w:t>ухого отбензиненного газа (СОГ)</w:t>
      </w:r>
      <w:r w:rsidRPr="00C243EA">
        <w:rPr>
          <w:sz w:val="26"/>
        </w:rPr>
        <w:t xml:space="preserve">. Среднесписочная численность работающих составила </w:t>
      </w:r>
      <w:r w:rsidR="00A21DA2" w:rsidRPr="00C243EA">
        <w:rPr>
          <w:sz w:val="26"/>
        </w:rPr>
        <w:t>290</w:t>
      </w:r>
      <w:r w:rsidRPr="00C243EA">
        <w:rPr>
          <w:sz w:val="26"/>
        </w:rPr>
        <w:t xml:space="preserve"> человек. Финансовый результат – прибыль; 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>-  ООО «Борец сервис – Нефтеюганск», основной вид деятельности предприятия –предоставление прочих услуг, связа</w:t>
      </w:r>
      <w:r w:rsidR="002C7CD4">
        <w:rPr>
          <w:sz w:val="26"/>
        </w:rPr>
        <w:t>нных с добычей нефти и газа. За 2020 год</w:t>
      </w:r>
      <w:r w:rsidRPr="00C243EA">
        <w:rPr>
          <w:sz w:val="26"/>
        </w:rPr>
        <w:t xml:space="preserve"> предприятием оказано услуг на сумму </w:t>
      </w:r>
      <w:r w:rsidR="00C243EA" w:rsidRPr="00C243EA">
        <w:rPr>
          <w:sz w:val="26"/>
        </w:rPr>
        <w:t>9</w:t>
      </w:r>
      <w:r w:rsidR="002C7CD4">
        <w:rPr>
          <w:sz w:val="26"/>
        </w:rPr>
        <w:t>52</w:t>
      </w:r>
      <w:r w:rsidR="00A863A7" w:rsidRPr="00C243EA">
        <w:rPr>
          <w:sz w:val="26"/>
        </w:rPr>
        <w:t>,</w:t>
      </w:r>
      <w:r w:rsidR="002C7CD4">
        <w:rPr>
          <w:sz w:val="26"/>
        </w:rPr>
        <w:t>9</w:t>
      </w:r>
      <w:r w:rsidR="00A863A7" w:rsidRPr="00C243EA">
        <w:rPr>
          <w:sz w:val="26"/>
        </w:rPr>
        <w:t xml:space="preserve"> млн. рублей (</w:t>
      </w:r>
      <w:r w:rsidR="002C7CD4">
        <w:rPr>
          <w:sz w:val="26"/>
        </w:rPr>
        <w:t>95,6</w:t>
      </w:r>
      <w:r w:rsidRPr="00C243EA">
        <w:rPr>
          <w:sz w:val="26"/>
        </w:rPr>
        <w:t>% к 2019 г.). Среднесписочная численность работ</w:t>
      </w:r>
      <w:r w:rsidR="00A863A7" w:rsidRPr="00C243EA">
        <w:rPr>
          <w:sz w:val="26"/>
        </w:rPr>
        <w:t>ников предприятия составляет 46</w:t>
      </w:r>
      <w:r w:rsidR="002C7CD4">
        <w:rPr>
          <w:sz w:val="26"/>
        </w:rPr>
        <w:t>2</w:t>
      </w:r>
      <w:r w:rsidR="00F447A7" w:rsidRPr="00C243EA">
        <w:rPr>
          <w:sz w:val="26"/>
        </w:rPr>
        <w:t xml:space="preserve"> человек</w:t>
      </w:r>
      <w:r w:rsidR="002C7CD4">
        <w:rPr>
          <w:sz w:val="26"/>
        </w:rPr>
        <w:t>а</w:t>
      </w:r>
      <w:r w:rsidRPr="00C243EA">
        <w:rPr>
          <w:sz w:val="26"/>
        </w:rPr>
        <w:t>. Финансовый результат - прибыль;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 xml:space="preserve"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 газораспределительным сетям. За </w:t>
      </w:r>
      <w:r w:rsidR="003D3FFE" w:rsidRPr="00C243EA">
        <w:rPr>
          <w:sz w:val="26"/>
        </w:rPr>
        <w:t>2020 год</w:t>
      </w:r>
      <w:r w:rsidRPr="00C243EA">
        <w:rPr>
          <w:sz w:val="26"/>
        </w:rPr>
        <w:t xml:space="preserve"> по основным видам деятельности объем произведенной продукции составил </w:t>
      </w:r>
      <w:r w:rsidR="003D3FFE" w:rsidRPr="00C243EA">
        <w:rPr>
          <w:sz w:val="26"/>
        </w:rPr>
        <w:t>784,36</w:t>
      </w:r>
      <w:r w:rsidRPr="00C243EA">
        <w:rPr>
          <w:sz w:val="26"/>
        </w:rPr>
        <w:t> млн.руб. (94,</w:t>
      </w:r>
      <w:r w:rsidR="003D3FFE" w:rsidRPr="00C243EA">
        <w:rPr>
          <w:sz w:val="26"/>
        </w:rPr>
        <w:t>6</w:t>
      </w:r>
      <w:r w:rsidRPr="00C243EA">
        <w:rPr>
          <w:sz w:val="26"/>
        </w:rPr>
        <w:t xml:space="preserve">% к </w:t>
      </w:r>
      <w:r w:rsidR="003D3FFE" w:rsidRPr="00C243EA">
        <w:rPr>
          <w:sz w:val="26"/>
        </w:rPr>
        <w:t>2019 году</w:t>
      </w:r>
      <w:r w:rsidRPr="00C243EA">
        <w:rPr>
          <w:sz w:val="26"/>
        </w:rPr>
        <w:t xml:space="preserve">). Произведено </w:t>
      </w:r>
      <w:r w:rsidR="003D3FFE" w:rsidRPr="00C243EA">
        <w:rPr>
          <w:sz w:val="26"/>
        </w:rPr>
        <w:t>526,5</w:t>
      </w:r>
      <w:r w:rsidRPr="00C243EA">
        <w:rPr>
          <w:sz w:val="26"/>
        </w:rPr>
        <w:t xml:space="preserve"> тыс. Гкал тепла, распределено </w:t>
      </w:r>
      <w:r w:rsidR="003D3FFE" w:rsidRPr="00C243EA">
        <w:rPr>
          <w:sz w:val="26"/>
        </w:rPr>
        <w:t>4 067,9</w:t>
      </w:r>
      <w:r w:rsidRPr="00C243EA">
        <w:rPr>
          <w:sz w:val="26"/>
        </w:rPr>
        <w:t xml:space="preserve"> тыс. м. куб. воды, отведено </w:t>
      </w:r>
      <w:r w:rsidR="003D3FFE" w:rsidRPr="00C243EA">
        <w:rPr>
          <w:sz w:val="26"/>
        </w:rPr>
        <w:t>2 476,2</w:t>
      </w:r>
      <w:r w:rsidRPr="00C243EA">
        <w:rPr>
          <w:sz w:val="26"/>
        </w:rPr>
        <w:t xml:space="preserve"> тыс. куб. м стоков, транспортировано </w:t>
      </w:r>
      <w:r w:rsidR="003D3FFE" w:rsidRPr="00C243EA">
        <w:rPr>
          <w:sz w:val="26"/>
        </w:rPr>
        <w:t>1 103,7</w:t>
      </w:r>
      <w:r w:rsidRPr="00C243EA">
        <w:rPr>
          <w:sz w:val="26"/>
        </w:rPr>
        <w:t xml:space="preserve"> тыс. м. куб.</w:t>
      </w:r>
      <w:bookmarkStart w:id="33" w:name="OLE_LINK9"/>
      <w:bookmarkStart w:id="34" w:name="OLE_LINK10"/>
      <w:r w:rsidRPr="00C243EA">
        <w:rPr>
          <w:sz w:val="26"/>
        </w:rPr>
        <w:t xml:space="preserve"> газа, вывезено </w:t>
      </w:r>
      <w:r w:rsidR="003D3FFE" w:rsidRPr="00C243EA">
        <w:rPr>
          <w:sz w:val="26"/>
        </w:rPr>
        <w:t>6,7</w:t>
      </w:r>
      <w:r w:rsidRPr="00C243EA">
        <w:rPr>
          <w:sz w:val="26"/>
        </w:rPr>
        <w:t xml:space="preserve"> тыс.м.куб ЖБО. Среднесписочная численность работников – 5</w:t>
      </w:r>
      <w:r w:rsidR="003D3FFE" w:rsidRPr="00C243EA">
        <w:rPr>
          <w:sz w:val="26"/>
        </w:rPr>
        <w:t>69</w:t>
      </w:r>
      <w:r w:rsidRPr="00C243EA">
        <w:rPr>
          <w:sz w:val="26"/>
        </w:rPr>
        <w:t xml:space="preserve"> чел. (2019</w:t>
      </w:r>
      <w:r w:rsidR="003D3FFE" w:rsidRPr="00C243EA">
        <w:rPr>
          <w:sz w:val="26"/>
        </w:rPr>
        <w:t xml:space="preserve"> г.</w:t>
      </w:r>
      <w:r w:rsidRPr="00C243EA">
        <w:rPr>
          <w:sz w:val="26"/>
        </w:rPr>
        <w:t xml:space="preserve"> - </w:t>
      </w:r>
      <w:r w:rsidR="003D3FFE" w:rsidRPr="00C243EA">
        <w:rPr>
          <w:sz w:val="26"/>
        </w:rPr>
        <w:t>599</w:t>
      </w:r>
      <w:r w:rsidRPr="00C243EA">
        <w:rPr>
          <w:sz w:val="26"/>
        </w:rPr>
        <w:t xml:space="preserve"> чел.). </w:t>
      </w:r>
      <w:bookmarkEnd w:id="33"/>
      <w:bookmarkEnd w:id="34"/>
    </w:p>
    <w:p w:rsidR="00D112AE" w:rsidRPr="00C243EA" w:rsidRDefault="00D112AE">
      <w:pPr>
        <w:pStyle w:val="1"/>
        <w:spacing w:before="0" w:after="0"/>
        <w:rPr>
          <w:rFonts w:ascii="Times New Roman" w:hAnsi="Times New Roman"/>
          <w:b w:val="0"/>
          <w:sz w:val="26"/>
        </w:rPr>
      </w:pPr>
      <w:bookmarkStart w:id="35" w:name="_Toc409769732"/>
    </w:p>
    <w:p w:rsidR="00C243EA" w:rsidRPr="00C243EA" w:rsidRDefault="00C243EA" w:rsidP="00C243EA">
      <w:pPr>
        <w:keepNext/>
        <w:jc w:val="center"/>
        <w:outlineLvl w:val="0"/>
        <w:rPr>
          <w:sz w:val="26"/>
        </w:rPr>
      </w:pPr>
      <w:bookmarkStart w:id="36" w:name="_Toc528078025"/>
      <w:r w:rsidRPr="00C243EA">
        <w:rPr>
          <w:sz w:val="26"/>
        </w:rPr>
        <w:t>Агропромышленный комплекс</w:t>
      </w:r>
      <w:bookmarkEnd w:id="36"/>
    </w:p>
    <w:p w:rsidR="00C243EA" w:rsidRPr="00C243EA" w:rsidRDefault="00C243EA" w:rsidP="00C243EA"/>
    <w:bookmarkEnd w:id="35"/>
    <w:p w:rsidR="00C243EA" w:rsidRPr="00C243EA" w:rsidRDefault="00C243EA" w:rsidP="00C243EA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Агропромышленный сектор экономики на территории города на 01.01.2021 года представляют 5 личных подсобных хозяйств (2019 год - 9, в 2020 году закрыли своё хозяйство 4 ЛПХ: Максимов О.И., Ковалева О.В., Щербинина Т.И., Бордияну А.М.), 7 крестьянско-фермерских хозяйств (2019 год - 7), 2 индивидуальных предпринимателя.  </w:t>
      </w:r>
    </w:p>
    <w:p w:rsidR="00C243EA" w:rsidRPr="00C243EA" w:rsidRDefault="00C243EA" w:rsidP="00C243EA">
      <w:pPr>
        <w:ind w:firstLine="708"/>
        <w:jc w:val="both"/>
        <w:rPr>
          <w:sz w:val="26"/>
        </w:rPr>
      </w:pPr>
      <w:r w:rsidRPr="00C243EA">
        <w:rPr>
          <w:sz w:val="26"/>
        </w:rPr>
        <w:t>За отчетный период по данным получателей поддержки на территории города произведено сельскохозяйственной продукции во всех категориях хозяйств по видам продукции:</w:t>
      </w:r>
    </w:p>
    <w:p w:rsidR="00C243EA" w:rsidRPr="00C243EA" w:rsidRDefault="00C243EA" w:rsidP="00C243EA">
      <w:pPr>
        <w:ind w:firstLine="708"/>
        <w:jc w:val="both"/>
        <w:rPr>
          <w:sz w:val="26"/>
        </w:rPr>
      </w:pPr>
    </w:p>
    <w:p w:rsidR="00C243EA" w:rsidRPr="00C243EA" w:rsidRDefault="00C243EA" w:rsidP="00C243EA">
      <w:pPr>
        <w:jc w:val="both"/>
        <w:rPr>
          <w:sz w:val="26"/>
        </w:rPr>
      </w:pPr>
      <w:r w:rsidRPr="00C243EA">
        <w:rPr>
          <w:sz w:val="26"/>
        </w:rPr>
        <w:t xml:space="preserve">  </w:t>
      </w:r>
      <w:r w:rsidRPr="00C243EA">
        <w:rPr>
          <w:noProof/>
          <w:sz w:val="26"/>
        </w:rPr>
        <w:drawing>
          <wp:inline distT="0" distB="0" distL="0" distR="0" wp14:anchorId="5D0D750D" wp14:editId="685066CF">
            <wp:extent cx="3002280" cy="277368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C243EA">
        <w:rPr>
          <w:noProof/>
          <w:sz w:val="26"/>
        </w:rPr>
        <w:drawing>
          <wp:inline distT="0" distB="0" distL="0" distR="0" wp14:anchorId="6F851366" wp14:editId="5F462817">
            <wp:extent cx="2766060" cy="2781300"/>
            <wp:effectExtent l="0" t="0" r="1524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43EA" w:rsidRPr="00C243EA" w:rsidRDefault="00C243EA" w:rsidP="00C243EA">
      <w:pPr>
        <w:autoSpaceDE w:val="0"/>
        <w:autoSpaceDN w:val="0"/>
        <w:adjustRightInd w:val="0"/>
        <w:ind w:firstLine="708"/>
        <w:jc w:val="both"/>
      </w:pPr>
      <w:r w:rsidRPr="00C243EA">
        <w:t>*Снижение производства мяса связано с уменьшением поголовья свиней у ИП Главы КФХ Колещатова В.Д., в связи с уменьшением с 01.07.2019г. ставки субсидии за 1 тн. мяса свиней (с 60 000 до 25 000 рублей), предусмотренной государственной программой Ханты-Мансийского автономного округа-Югры «Развитие агропромышленного комплекса».</w:t>
      </w:r>
    </w:p>
    <w:p w:rsidR="00C243EA" w:rsidRPr="00C243EA" w:rsidRDefault="00C243EA" w:rsidP="00C243EA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C243EA">
        <w:rPr>
          <w:sz w:val="26"/>
        </w:rPr>
        <w:t xml:space="preserve">На 01.01.2021 поголовье сельскохозяйственных животных в хозяйствах всех категорий составило: 166 головы крупного рогатого скота (АППГ – 177), свиней – 680 </w:t>
      </w:r>
      <w:r w:rsidRPr="00C243EA">
        <w:rPr>
          <w:sz w:val="26"/>
        </w:rPr>
        <w:lastRenderedPageBreak/>
        <w:t xml:space="preserve">голов (АППГ – 683), овец и коз – 470 голов (АППГ – 508), поголовье птицы – 35 515 голов (АППГ – 36 082). </w:t>
      </w:r>
    </w:p>
    <w:p w:rsidR="00C243EA" w:rsidRPr="00C243EA" w:rsidRDefault="00C243EA" w:rsidP="00C243EA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C243EA">
        <w:rPr>
          <w:sz w:val="26"/>
        </w:rPr>
        <w:t>На снижение численности поголовья сельскохозяйственных животных повлияло в т.ч. сокращение в отчетном периоде количества личных подсобных хозяйств на 44% (с 9 до 5 ед.).</w:t>
      </w:r>
    </w:p>
    <w:p w:rsidR="00C243EA" w:rsidRPr="00C243EA" w:rsidRDefault="00C243EA" w:rsidP="00C243EA">
      <w:pPr>
        <w:tabs>
          <w:tab w:val="left" w:pos="540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 w:rsidRPr="00C243EA">
        <w:rPr>
          <w:sz w:val="26"/>
        </w:rPr>
        <w:t>В целях поддержки и развития сельскохозяйственного производства в городе Пыть-Яхе утверждена муниципальная программа «Развитие агропромышленного комплекса в городе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продажу собственной продукции на территории города с получением муниципальной финансовой поддержки. Главы крестьянских (фермерских) хозяйств реализуют продукцию (мясную, молочную, яйцо куриное и перепелиное) через собственные магазины, а также через магазины розничной торговли города. Глава КФХ Захаров М.Д. реализует яйцо в 12 муниципалитетах ХМАО-Югры (в городах Нефтеюганск, Сургут, Мегион, Покачи, Ханты-Мансийск, Пыть-Ях, в Нефтеюганском и Ханты-Мансийском районах), в том числе оптовым поставщикам ООО «ГЛАВПТИЦА» (г. Сургут) и ИП Сацик И.В. (г. Нижневартовск), а также за пределы округа в Томской области (г.Стрижевой).</w:t>
      </w:r>
    </w:p>
    <w:p w:rsidR="00C243EA" w:rsidRPr="00C243EA" w:rsidRDefault="00C243EA" w:rsidP="00C243EA">
      <w:pPr>
        <w:tabs>
          <w:tab w:val="left" w:pos="540"/>
        </w:tabs>
        <w:autoSpaceDE w:val="0"/>
        <w:autoSpaceDN w:val="0"/>
        <w:adjustRightInd w:val="0"/>
        <w:ind w:firstLine="720"/>
        <w:jc w:val="both"/>
        <w:rPr>
          <w:sz w:val="26"/>
        </w:rPr>
      </w:pPr>
      <w:r w:rsidRPr="00C243EA">
        <w:rPr>
          <w:sz w:val="26"/>
        </w:rPr>
        <w:t>Главы КФХ Захаров М.Д. (продукция – яйцо) и КФХ Колещатов В.Д. (продукция – молоко и молочные продукты) реализуют свою продукцию</w:t>
      </w:r>
      <w:r w:rsidR="00624141">
        <w:rPr>
          <w:sz w:val="26"/>
        </w:rPr>
        <w:t xml:space="preserve"> под</w:t>
      </w:r>
      <w:r w:rsidRPr="00C243EA">
        <w:rPr>
          <w:sz w:val="26"/>
        </w:rPr>
        <w:t xml:space="preserve"> товарным знаком «Сделано в Югре!».</w:t>
      </w:r>
    </w:p>
    <w:p w:rsidR="00C243EA" w:rsidRPr="00C243EA" w:rsidRDefault="00C243EA" w:rsidP="00C243EA">
      <w:pPr>
        <w:tabs>
          <w:tab w:val="left" w:pos="540"/>
        </w:tabs>
        <w:ind w:firstLine="720"/>
        <w:jc w:val="both"/>
        <w:rPr>
          <w:color w:val="FF0000"/>
          <w:sz w:val="26"/>
        </w:rPr>
      </w:pPr>
      <w:r w:rsidRPr="005D5A77">
        <w:rPr>
          <w:color w:val="000000" w:themeColor="text1"/>
          <w:sz w:val="26"/>
        </w:rPr>
        <w:t xml:space="preserve">На реализацию мероприятий программы в 2020 году предусмотрено </w:t>
      </w:r>
      <w:r w:rsidR="00624141" w:rsidRPr="005D5A77">
        <w:rPr>
          <w:color w:val="000000" w:themeColor="text1"/>
          <w:sz w:val="26"/>
        </w:rPr>
        <w:t>22 354,5</w:t>
      </w:r>
      <w:r w:rsidRPr="005D5A77">
        <w:rPr>
          <w:color w:val="000000" w:themeColor="text1"/>
          <w:sz w:val="26"/>
        </w:rPr>
        <w:t xml:space="preserve"> тыс.руб., исполнение –</w:t>
      </w:r>
      <w:r w:rsidR="00202DCB">
        <w:rPr>
          <w:color w:val="000000" w:themeColor="text1"/>
          <w:sz w:val="26"/>
        </w:rPr>
        <w:t>97</w:t>
      </w:r>
      <w:r w:rsidRPr="005D5A77">
        <w:rPr>
          <w:color w:val="000000" w:themeColor="text1"/>
          <w:sz w:val="26"/>
        </w:rPr>
        <w:t>%.</w:t>
      </w:r>
    </w:p>
    <w:p w:rsidR="00C243EA" w:rsidRPr="00C243EA" w:rsidRDefault="00C243EA" w:rsidP="00C243EA">
      <w:pPr>
        <w:tabs>
          <w:tab w:val="left" w:pos="540"/>
        </w:tabs>
        <w:ind w:firstLine="720"/>
        <w:jc w:val="both"/>
        <w:rPr>
          <w:sz w:val="26"/>
        </w:rPr>
      </w:pPr>
      <w:r w:rsidRPr="00C243EA">
        <w:rPr>
          <w:sz w:val="26"/>
        </w:rPr>
        <w:t xml:space="preserve">Соглашения на поддержку сельского хозяйства в 2020 году заключили 3 КФХ и 1 ИП. </w:t>
      </w:r>
    </w:p>
    <w:p w:rsidR="00D112AE" w:rsidRPr="00C243EA" w:rsidRDefault="00622A26" w:rsidP="0083136D">
      <w:pPr>
        <w:tabs>
          <w:tab w:val="left" w:pos="540"/>
        </w:tabs>
        <w:ind w:firstLine="720"/>
        <w:jc w:val="both"/>
        <w:rPr>
          <w:sz w:val="26"/>
        </w:rPr>
      </w:pPr>
      <w:r w:rsidRPr="00C243EA">
        <w:rPr>
          <w:sz w:val="26"/>
        </w:rPr>
        <w:t xml:space="preserve"> </w:t>
      </w:r>
      <w:bookmarkStart w:id="37" w:name="_Toc528078026"/>
    </w:p>
    <w:p w:rsidR="00D112AE" w:rsidRPr="00C243EA" w:rsidRDefault="00D112AE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</w:p>
    <w:p w:rsidR="00D112AE" w:rsidRPr="00C243EA" w:rsidRDefault="00622A26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r w:rsidRPr="00C243EA">
        <w:rPr>
          <w:rFonts w:ascii="Times New Roman" w:hAnsi="Times New Roman"/>
          <w:b w:val="0"/>
          <w:sz w:val="26"/>
        </w:rPr>
        <w:t>Потребительский рынок</w:t>
      </w:r>
      <w:bookmarkEnd w:id="37"/>
      <w:r w:rsidRPr="00C243EA">
        <w:rPr>
          <w:rFonts w:ascii="Times New Roman" w:hAnsi="Times New Roman"/>
          <w:b w:val="0"/>
          <w:sz w:val="26"/>
        </w:rPr>
        <w:t xml:space="preserve"> </w:t>
      </w:r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ind w:firstLine="709"/>
        <w:jc w:val="both"/>
        <w:rPr>
          <w:sz w:val="26"/>
        </w:rPr>
      </w:pPr>
      <w:r w:rsidRPr="00C243EA">
        <w:rPr>
          <w:sz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За </w:t>
      </w:r>
      <w:r w:rsidR="003A47DF" w:rsidRPr="00C243EA">
        <w:rPr>
          <w:sz w:val="26"/>
        </w:rPr>
        <w:t>2020 год</w:t>
      </w:r>
      <w:r w:rsidRPr="00C243EA">
        <w:rPr>
          <w:sz w:val="26"/>
        </w:rPr>
        <w:t xml:space="preserve"> по оценочным данным, оборот розничной торговли по полному кругу предприятий составил </w:t>
      </w:r>
      <w:r w:rsidR="003A47DF" w:rsidRPr="00C243EA">
        <w:rPr>
          <w:sz w:val="26"/>
        </w:rPr>
        <w:t>3 321,7</w:t>
      </w:r>
      <w:r w:rsidRPr="00C243EA">
        <w:rPr>
          <w:sz w:val="26"/>
        </w:rPr>
        <w:t xml:space="preserve"> млн. рублей, объем оказанных услуг </w:t>
      </w:r>
      <w:r w:rsidR="003A47DF" w:rsidRPr="00C243EA">
        <w:rPr>
          <w:sz w:val="26"/>
        </w:rPr>
        <w:t>–</w:t>
      </w:r>
      <w:r w:rsidRPr="00C243EA">
        <w:rPr>
          <w:sz w:val="26"/>
        </w:rPr>
        <w:t xml:space="preserve"> </w:t>
      </w:r>
      <w:r w:rsidR="003A47DF" w:rsidRPr="00C243EA">
        <w:rPr>
          <w:sz w:val="26"/>
        </w:rPr>
        <w:t>437,6</w:t>
      </w:r>
      <w:r w:rsidRPr="00C243EA">
        <w:rPr>
          <w:sz w:val="26"/>
        </w:rPr>
        <w:t xml:space="preserve"> млн. рублей.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</w:t>
      </w:r>
      <w:r w:rsidR="00D127F1" w:rsidRPr="00C243EA">
        <w:rPr>
          <w:sz w:val="26"/>
        </w:rPr>
        <w:t xml:space="preserve"> «Перекресток»,</w:t>
      </w:r>
      <w:r w:rsidRPr="00C243EA">
        <w:rPr>
          <w:sz w:val="26"/>
        </w:rPr>
        <w:t xml:space="preserve"> «Пятерочка» «DNS», «Монетка», «Красное и Белое»,</w:t>
      </w:r>
      <w:r w:rsidR="00D127F1" w:rsidRPr="00C243EA">
        <w:rPr>
          <w:sz w:val="26"/>
        </w:rPr>
        <w:t xml:space="preserve"> «Светлое и Темное»,</w:t>
      </w:r>
      <w:r w:rsidRPr="00C243EA">
        <w:rPr>
          <w:sz w:val="26"/>
        </w:rPr>
        <w:t xml:space="preserve"> «Кари», «Галамарт», салон «Евросеть», «Связной», «RBT.ru».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Пыть-Яхе это «Сибирское золото», «585», «Sela», «Юничел».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lastRenderedPageBreak/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D112AE" w:rsidRPr="00C243EA" w:rsidRDefault="00B46113" w:rsidP="00B46113">
      <w:pPr>
        <w:ind w:firstLine="708"/>
        <w:jc w:val="both"/>
        <w:rPr>
          <w:sz w:val="26"/>
        </w:rPr>
      </w:pPr>
      <w:r w:rsidRPr="00C243EA">
        <w:rPr>
          <w:sz w:val="26"/>
        </w:rPr>
        <w:t>Общественное питание на территории города осуществляют 66 предприятий на 3 827 посадочных мест, в том числе: 1 ресторан на 160 посадочных мест, 28 кафе на   1 923 посадочных мест</w:t>
      </w:r>
      <w:r w:rsidR="00DD01AD">
        <w:rPr>
          <w:sz w:val="26"/>
        </w:rPr>
        <w:t>а</w:t>
      </w:r>
      <w:r w:rsidRPr="00C243EA">
        <w:rPr>
          <w:sz w:val="26"/>
        </w:rPr>
        <w:t>, 10 столовых на 1 563 посадочных места, 27 закусочных и прочих объектов общественного питания на 181 посадочное место.</w:t>
      </w:r>
    </w:p>
    <w:p w:rsidR="00B46113" w:rsidRPr="00C243EA" w:rsidRDefault="00B46113">
      <w:pPr>
        <w:ind w:firstLine="708"/>
        <w:jc w:val="both"/>
        <w:rPr>
          <w:sz w:val="26"/>
        </w:rPr>
      </w:pPr>
    </w:p>
    <w:p w:rsidR="00D112AE" w:rsidRPr="00C243EA" w:rsidRDefault="00D112AE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  <w:bookmarkStart w:id="38" w:name="_Toc528078027"/>
    </w:p>
    <w:p w:rsidR="00D112AE" w:rsidRPr="00C243EA" w:rsidRDefault="00622A26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  <w:r w:rsidRPr="00C243EA">
        <w:rPr>
          <w:rFonts w:ascii="Times New Roman" w:hAnsi="Times New Roman"/>
          <w:b w:val="0"/>
          <w:i w:val="0"/>
          <w:sz w:val="26"/>
        </w:rPr>
        <w:t>Развитие конкуренции на потребительском рынке</w:t>
      </w:r>
      <w:bookmarkEnd w:id="38"/>
      <w:r w:rsidRPr="00C243EA">
        <w:rPr>
          <w:rFonts w:ascii="Times New Roman" w:hAnsi="Times New Roman"/>
          <w:b w:val="0"/>
          <w:i w:val="0"/>
          <w:sz w:val="26"/>
        </w:rPr>
        <w:t xml:space="preserve"> </w:t>
      </w:r>
    </w:p>
    <w:p w:rsidR="00D112AE" w:rsidRPr="00C243EA" w:rsidRDefault="00D112AE">
      <w:pPr>
        <w:pStyle w:val="a3"/>
        <w:suppressAutoHyphens/>
        <w:ind w:firstLine="708"/>
        <w:rPr>
          <w:sz w:val="26"/>
        </w:rPr>
      </w:pPr>
    </w:p>
    <w:p w:rsidR="00D112AE" w:rsidRPr="00C243EA" w:rsidRDefault="00622A26">
      <w:pPr>
        <w:pStyle w:val="a3"/>
        <w:suppressAutoHyphens/>
        <w:ind w:firstLine="708"/>
        <w:rPr>
          <w:sz w:val="26"/>
        </w:rPr>
      </w:pPr>
      <w:r w:rsidRPr="00C243EA">
        <w:rPr>
          <w:sz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D112AE" w:rsidRPr="00C243EA" w:rsidRDefault="00622A26">
      <w:pPr>
        <w:numPr>
          <w:ilvl w:val="0"/>
          <w:numId w:val="3"/>
        </w:numPr>
        <w:tabs>
          <w:tab w:val="clear" w:pos="1429"/>
          <w:tab w:val="left" w:pos="720"/>
        </w:tabs>
        <w:ind w:left="0" w:firstLine="0"/>
        <w:jc w:val="both"/>
        <w:rPr>
          <w:sz w:val="26"/>
        </w:rPr>
      </w:pPr>
      <w:r w:rsidRPr="00C243EA">
        <w:rPr>
          <w:sz w:val="26"/>
        </w:rPr>
        <w:t>организован оперативный еженедельный,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D112AE" w:rsidRPr="00C243EA" w:rsidRDefault="00622A26">
      <w:pPr>
        <w:numPr>
          <w:ilvl w:val="0"/>
          <w:numId w:val="3"/>
        </w:numPr>
        <w:tabs>
          <w:tab w:val="clear" w:pos="1429"/>
          <w:tab w:val="left" w:pos="720"/>
        </w:tabs>
        <w:ind w:left="0" w:firstLine="0"/>
        <w:jc w:val="both"/>
        <w:rPr>
          <w:sz w:val="26"/>
        </w:rPr>
      </w:pPr>
      <w:r w:rsidRPr="00C243EA">
        <w:rPr>
          <w:sz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DD01AD">
        <w:rPr>
          <w:sz w:val="26"/>
        </w:rPr>
        <w:t>2020 год</w:t>
      </w:r>
      <w:r w:rsidRPr="00C243EA">
        <w:rPr>
          <w:sz w:val="26"/>
        </w:rPr>
        <w:t xml:space="preserve"> обращения от жителей города по вопросу высокой стоимости товаров не поступали);</w:t>
      </w:r>
    </w:p>
    <w:p w:rsidR="00D112AE" w:rsidRPr="00C243EA" w:rsidRDefault="00622A26">
      <w:pPr>
        <w:numPr>
          <w:ilvl w:val="0"/>
          <w:numId w:val="3"/>
        </w:numPr>
        <w:tabs>
          <w:tab w:val="clear" w:pos="1429"/>
          <w:tab w:val="left" w:pos="720"/>
        </w:tabs>
        <w:ind w:left="0" w:firstLine="0"/>
        <w:jc w:val="both"/>
        <w:rPr>
          <w:sz w:val="26"/>
        </w:rPr>
      </w:pPr>
      <w:r w:rsidRPr="00C243EA">
        <w:rPr>
          <w:sz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1" w:history="1">
        <w:r w:rsidRPr="00C243EA">
          <w:rPr>
            <w:sz w:val="26"/>
            <w:szCs w:val="26"/>
          </w:rPr>
          <w:t>http://adm.gov86.org/</w:t>
        </w:r>
      </w:hyperlink>
      <w:r w:rsidRPr="00C243EA">
        <w:rPr>
          <w:sz w:val="26"/>
        </w:rPr>
        <w:t xml:space="preserve"> в разделе «Экономика» еженедельно и ежемесячно размещается информация об изменении цен на продовольственном рынке и ГСМ.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Администрацией города Пыть-Яха в целях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РФ 5 апреля 2018 года, распоряжения Губернатора ХМАО-Югры №162-рг от 01.08.2019 «О развитии конкуренции в ХМАО-Югре», разработано и утверждено распоряжение администрации города 20.08.2019 № 1934-ра «Об утверждении плана мероприятий («дорожной карты») по развитию конкуренции в городе Пыть-Яхе» (с изм. от 06.05.2020 № 860-ра).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В целях развития конкуренции на потребительском рынке органами местного самоуправления организуются ярмарки, в том числе ярмарки выходного дня местных товаро- и сельхозпроизводителей, а также производителей сельхозпродукции из других регионов. За </w:t>
      </w:r>
      <w:r w:rsidR="002C3CD2" w:rsidRPr="00C243EA">
        <w:rPr>
          <w:sz w:val="26"/>
        </w:rPr>
        <w:t>2020 год</w:t>
      </w:r>
      <w:r w:rsidRPr="00C243EA">
        <w:rPr>
          <w:sz w:val="26"/>
        </w:rPr>
        <w:t xml:space="preserve"> проведен</w:t>
      </w:r>
      <w:r w:rsidR="002C3CD2" w:rsidRPr="00C243EA">
        <w:rPr>
          <w:sz w:val="26"/>
        </w:rPr>
        <w:t>о</w:t>
      </w:r>
      <w:r w:rsidRPr="00C243EA">
        <w:rPr>
          <w:sz w:val="26"/>
        </w:rPr>
        <w:t xml:space="preserve"> </w:t>
      </w:r>
      <w:r w:rsidR="002C3CD2" w:rsidRPr="00C243EA">
        <w:rPr>
          <w:sz w:val="26"/>
        </w:rPr>
        <w:t>5</w:t>
      </w:r>
      <w:r w:rsidRPr="00C243EA">
        <w:rPr>
          <w:sz w:val="26"/>
        </w:rPr>
        <w:t xml:space="preserve"> ярмар</w:t>
      </w:r>
      <w:r w:rsidR="002C3CD2" w:rsidRPr="00C243EA">
        <w:rPr>
          <w:sz w:val="26"/>
        </w:rPr>
        <w:t>ок</w:t>
      </w:r>
      <w:r w:rsidRPr="00C243EA">
        <w:rPr>
          <w:sz w:val="26"/>
        </w:rPr>
        <w:t xml:space="preserve"> продовольственных товаров.</w:t>
      </w:r>
    </w:p>
    <w:p w:rsidR="00D112AE" w:rsidRPr="00C243EA" w:rsidRDefault="00D112AE">
      <w:pPr>
        <w:ind w:firstLine="708"/>
        <w:jc w:val="both"/>
        <w:rPr>
          <w:sz w:val="26"/>
        </w:rPr>
      </w:pPr>
    </w:p>
    <w:p w:rsidR="00D112AE" w:rsidRPr="00C243EA" w:rsidRDefault="00622A26">
      <w:pPr>
        <w:keepNext/>
        <w:jc w:val="center"/>
        <w:outlineLvl w:val="1"/>
        <w:rPr>
          <w:sz w:val="26"/>
        </w:rPr>
      </w:pPr>
      <w:r w:rsidRPr="00C243EA">
        <w:rPr>
          <w:sz w:val="26"/>
        </w:rPr>
        <w:t>Уровень инфляции и анализ изменения розничных цен</w:t>
      </w:r>
    </w:p>
    <w:p w:rsidR="00D112AE" w:rsidRPr="00C243EA" w:rsidRDefault="00D112AE">
      <w:pPr>
        <w:jc w:val="both"/>
        <w:rPr>
          <w:sz w:val="26"/>
        </w:rPr>
      </w:pPr>
    </w:p>
    <w:p w:rsidR="00C623FC" w:rsidRPr="00C243EA" w:rsidRDefault="00C623FC" w:rsidP="00C623FC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 xml:space="preserve">По данным Управления информационного мониторинга БУ «Региональный аналитический центр» ХМАО-Югры за отчетный период на продовольственные товары произошел рост цен от 2% до </w:t>
      </w:r>
      <w:r w:rsidR="003726C5" w:rsidRPr="00C243EA">
        <w:rPr>
          <w:color w:val="000000" w:themeColor="text1"/>
          <w:sz w:val="26"/>
        </w:rPr>
        <w:t>56</w:t>
      </w:r>
      <w:r w:rsidRPr="00C243EA">
        <w:rPr>
          <w:color w:val="000000" w:themeColor="text1"/>
          <w:sz w:val="26"/>
        </w:rPr>
        <w:t xml:space="preserve">% на: </w:t>
      </w:r>
    </w:p>
    <w:p w:rsidR="003726C5" w:rsidRPr="00C243EA" w:rsidRDefault="00C623FC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="003726C5" w:rsidRPr="00C243EA">
        <w:t xml:space="preserve"> </w:t>
      </w:r>
      <w:r w:rsidR="003726C5" w:rsidRPr="00C243EA">
        <w:rPr>
          <w:color w:val="000000" w:themeColor="text1"/>
          <w:sz w:val="26"/>
        </w:rPr>
        <w:t>соль поваренную пищевую (2%);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 xml:space="preserve">хлеб ржаной, ржано-пшеничный (4%); 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муку высшего сорта (5%);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яйцо куриное, горох и фасоль (6%);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lastRenderedPageBreak/>
        <w:t>•</w:t>
      </w:r>
      <w:r w:rsidRPr="00C243EA">
        <w:rPr>
          <w:color w:val="000000" w:themeColor="text1"/>
          <w:sz w:val="26"/>
        </w:rPr>
        <w:tab/>
        <w:t>сахар-песок, капусту свежую, лук репчатый (7%);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творог нежирный, хлеб и хлебобулочные изделия из муки 1,2 сорта (8%);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масло сливочное, кефир (9%);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картофель (12%);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крупу манную, морковь (15%);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крупу гречневую (16%);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вермишель (19%);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яблоки (23%);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рыбу мороженную (40%);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крупу пшеничную (56%).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Снижение от 1% до 24% на: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куры (1%);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крупу овсяную и перловую (2%);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масло подсолнечное, молоко питьевое, творог жирный (4%);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пшено (7%);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рис шлифованный (8%);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говядину (9%);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макаронные изделия (12%);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•</w:t>
      </w:r>
      <w:r w:rsidRPr="00C243EA">
        <w:rPr>
          <w:color w:val="000000" w:themeColor="text1"/>
          <w:sz w:val="26"/>
        </w:rPr>
        <w:tab/>
        <w:t>сметану (24%).</w:t>
      </w:r>
    </w:p>
    <w:p w:rsidR="003726C5" w:rsidRPr="00C243EA" w:rsidRDefault="003726C5" w:rsidP="003726C5">
      <w:pPr>
        <w:ind w:firstLine="540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На свинину цена в среднем не изменилась.</w:t>
      </w:r>
    </w:p>
    <w:p w:rsidR="00D112AE" w:rsidRPr="00C243EA" w:rsidRDefault="00622A26" w:rsidP="003726C5">
      <w:pPr>
        <w:ind w:firstLine="540"/>
        <w:jc w:val="both"/>
        <w:rPr>
          <w:sz w:val="26"/>
        </w:rPr>
      </w:pPr>
      <w:r w:rsidRPr="00C243EA">
        <w:rPr>
          <w:sz w:val="26"/>
        </w:rPr>
        <w:t>Тарифы на управление и содержание жилищного фонда по всем управляющим компаниям, ТСЖ, КТОСам за анализируемый период не изменились:</w:t>
      </w:r>
    </w:p>
    <w:p w:rsidR="00D112AE" w:rsidRPr="00C243EA" w:rsidRDefault="00622A26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- капитальное жилье 7-9-10-ти этажные здания – 34,53 рублей 1 м2;</w:t>
      </w:r>
    </w:p>
    <w:p w:rsidR="00D112AE" w:rsidRPr="00C243EA" w:rsidRDefault="00622A26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- капитальное жилье 5-4-3-2-х и одноэтажные здания – 31,47 рублей 1 м2;</w:t>
      </w:r>
    </w:p>
    <w:p w:rsidR="00D112AE" w:rsidRPr="00C243EA" w:rsidRDefault="00622A26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- деревянное жилье – 29,97 рублей 1 м2.</w:t>
      </w:r>
    </w:p>
    <w:p w:rsidR="00DE24F2" w:rsidRPr="00C243EA" w:rsidRDefault="00DE24F2" w:rsidP="00DE24F2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За отчетный период рост тарифов на коммунальные услуги по муниципальному образованию составил:</w:t>
      </w:r>
    </w:p>
    <w:p w:rsidR="00DE24F2" w:rsidRPr="00C243EA" w:rsidRDefault="00DE24F2" w:rsidP="00DE24F2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на холодное водоснабжение (2,6%);</w:t>
      </w:r>
    </w:p>
    <w:p w:rsidR="00DE24F2" w:rsidRPr="00C243EA" w:rsidRDefault="00DE24F2" w:rsidP="00DE24F2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на водоотведение (1%);</w:t>
      </w:r>
    </w:p>
    <w:p w:rsidR="00DE24F2" w:rsidRPr="00C243EA" w:rsidRDefault="00DE24F2" w:rsidP="00DE24F2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на горячее водоснабжение (2,1%);</w:t>
      </w:r>
    </w:p>
    <w:p w:rsidR="00DE24F2" w:rsidRPr="00C243EA" w:rsidRDefault="00DE24F2" w:rsidP="00DE24F2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на теплоснабжение (3,5%);</w:t>
      </w:r>
    </w:p>
    <w:p w:rsidR="00DE24F2" w:rsidRPr="00C243EA" w:rsidRDefault="00DE24F2" w:rsidP="00DE24F2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топливо печное бытовое (дрова) (3,5%);</w:t>
      </w:r>
    </w:p>
    <w:p w:rsidR="00DE24F2" w:rsidRPr="00C243EA" w:rsidRDefault="00DE24F2" w:rsidP="00DE24F2">
      <w:pPr>
        <w:tabs>
          <w:tab w:val="left" w:pos="0"/>
          <w:tab w:val="left" w:pos="180"/>
        </w:tabs>
        <w:ind w:firstLine="540"/>
        <w:jc w:val="both"/>
        <w:rPr>
          <w:sz w:val="26"/>
        </w:rPr>
      </w:pPr>
      <w:r w:rsidRPr="00C243EA">
        <w:rPr>
          <w:sz w:val="26"/>
        </w:rPr>
        <w:t>электроэнергия (3%).</w:t>
      </w:r>
    </w:p>
    <w:p w:rsidR="00D112AE" w:rsidRPr="00C243EA" w:rsidRDefault="00622A26">
      <w:pPr>
        <w:tabs>
          <w:tab w:val="left" w:pos="567"/>
        </w:tabs>
        <w:jc w:val="both"/>
        <w:rPr>
          <w:sz w:val="26"/>
        </w:rPr>
      </w:pPr>
      <w:r w:rsidRPr="00C243EA">
        <w:rPr>
          <w:sz w:val="26"/>
        </w:rPr>
        <w:tab/>
        <w:t>Тарифы на услуги телефонной связи, предоставляемые ПАО «МТС» и ПАО «Ростелеком» остались на уровне 2019 года.</w:t>
      </w:r>
    </w:p>
    <w:p w:rsidR="00D112AE" w:rsidRPr="00C243EA" w:rsidRDefault="00622A26">
      <w:pPr>
        <w:tabs>
          <w:tab w:val="left" w:pos="567"/>
        </w:tabs>
        <w:jc w:val="both"/>
        <w:rPr>
          <w:sz w:val="26"/>
        </w:rPr>
      </w:pPr>
      <w:r w:rsidRPr="00C243EA">
        <w:rPr>
          <w:sz w:val="26"/>
        </w:rPr>
        <w:tab/>
        <w:t xml:space="preserve">Тарифы за почтовые услуги по ФГУП «Почта России» (пересылка писем, бандеролей) </w:t>
      </w:r>
      <w:r w:rsidR="003726C5" w:rsidRPr="00C243EA">
        <w:rPr>
          <w:sz w:val="26"/>
        </w:rPr>
        <w:t>выросли на 2% к 2019 году</w:t>
      </w:r>
      <w:r w:rsidRPr="00C243EA">
        <w:rPr>
          <w:sz w:val="26"/>
        </w:rPr>
        <w:t>. Стоимость проезда в автобусах общего пользования не изменилась, в соответствии с приказом Муниципального унитарного пассажирского автотранспортного предприятия от 23.12.2019г. №233 «О повышении стоимости проезда на городских и сезонных маршрутах» с 01.01.2020г. составляет 26 рублей.</w:t>
      </w:r>
    </w:p>
    <w:p w:rsidR="00D112AE" w:rsidRPr="00C243EA" w:rsidRDefault="00622A26">
      <w:pPr>
        <w:tabs>
          <w:tab w:val="left" w:pos="567"/>
        </w:tabs>
        <w:jc w:val="both"/>
        <w:rPr>
          <w:sz w:val="26"/>
        </w:rPr>
      </w:pPr>
      <w:r w:rsidRPr="00C243EA">
        <w:rPr>
          <w:sz w:val="26"/>
        </w:rPr>
        <w:tab/>
        <w:t xml:space="preserve">Тарифы на оказание услуг общегородских бань, оказываемых муниципальным унитарным предприятием «Пыть-Яхторгсервис» остались на уровне 2018 года, согласно постановлению администрации города от 22.05.2017 № 133-па «Об установлении тарифа на услугу общегородских бань, оказываемую муниципальным унитарным предприятием «Пыть-Яхторгсервис» (в ред. от 16.04.2018 №65-па), тарифы на услугу «помывка в общем отделении бани (2ч.)» общегородской бани  «Банно - прачечный комбинат» составляет 298,0 рублей и для льготной категории </w:t>
      </w:r>
      <w:r w:rsidRPr="00C243EA">
        <w:rPr>
          <w:sz w:val="26"/>
        </w:rPr>
        <w:lastRenderedPageBreak/>
        <w:t>(инвалиды, неработающие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D112AE" w:rsidRPr="00C243EA" w:rsidRDefault="00971B6A" w:rsidP="003726C5">
      <w:pPr>
        <w:ind w:firstLine="708"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 xml:space="preserve">За отчетный период рост цен на ГСМ в среднем составил </w:t>
      </w:r>
      <w:r w:rsidR="003726C5" w:rsidRPr="00C243EA">
        <w:rPr>
          <w:color w:val="000000" w:themeColor="text1"/>
          <w:sz w:val="26"/>
        </w:rPr>
        <w:t>2</w:t>
      </w:r>
      <w:r w:rsidRPr="00C243EA">
        <w:rPr>
          <w:color w:val="000000" w:themeColor="text1"/>
          <w:sz w:val="26"/>
        </w:rPr>
        <w:t>%: АИ-80 (0%); АИ-95  (</w:t>
      </w:r>
      <w:r w:rsidR="003726C5" w:rsidRPr="00C243EA">
        <w:rPr>
          <w:color w:val="000000" w:themeColor="text1"/>
          <w:sz w:val="26"/>
        </w:rPr>
        <w:t>4</w:t>
      </w:r>
      <w:r w:rsidRPr="00C243EA">
        <w:rPr>
          <w:color w:val="000000" w:themeColor="text1"/>
          <w:sz w:val="26"/>
        </w:rPr>
        <w:t>%);  АИ-92  (3%); Дизтопливо (0%).</w:t>
      </w:r>
    </w:p>
    <w:p w:rsidR="00971B6A" w:rsidRPr="00C243EA" w:rsidRDefault="00971B6A" w:rsidP="00971B6A">
      <w:pPr>
        <w:jc w:val="both"/>
        <w:rPr>
          <w:color w:val="FF0000"/>
          <w:sz w:val="26"/>
        </w:rPr>
      </w:pPr>
    </w:p>
    <w:p w:rsidR="00D112AE" w:rsidRPr="00C243EA" w:rsidRDefault="00622A26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bookmarkStart w:id="39" w:name="_Транспорт_и_связь"/>
      <w:bookmarkStart w:id="40" w:name="_Toc528078029"/>
      <w:bookmarkEnd w:id="39"/>
      <w:r w:rsidRPr="00C243EA">
        <w:rPr>
          <w:rFonts w:ascii="Times New Roman" w:hAnsi="Times New Roman"/>
          <w:b w:val="0"/>
          <w:sz w:val="26"/>
        </w:rPr>
        <w:t>Транспорт и связь</w:t>
      </w:r>
      <w:bookmarkEnd w:id="40"/>
    </w:p>
    <w:p w:rsidR="00D112AE" w:rsidRPr="00C243EA" w:rsidRDefault="00D112AE">
      <w:pPr>
        <w:jc w:val="center"/>
        <w:rPr>
          <w:sz w:val="26"/>
        </w:rPr>
      </w:pP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Наиболее значимыми предприятиями, определяющими развитие транспортной отрасли, являются следующие предприятия (организации): ООО «Арбат», МУ ПАТП: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- ООО «Арбат», основной вид деятельности - транспортная обработка прочих грузов. За </w:t>
      </w:r>
      <w:r w:rsidR="00E81629" w:rsidRPr="00C243EA">
        <w:rPr>
          <w:sz w:val="26"/>
        </w:rPr>
        <w:t>2020 год</w:t>
      </w:r>
      <w:r w:rsidRPr="00C243EA">
        <w:rPr>
          <w:sz w:val="26"/>
        </w:rPr>
        <w:t xml:space="preserve"> по основному виду деятельности выполнено работ на </w:t>
      </w:r>
      <w:r w:rsidR="00E81629" w:rsidRPr="00C243EA">
        <w:rPr>
          <w:sz w:val="26"/>
        </w:rPr>
        <w:t>186,2</w:t>
      </w:r>
      <w:r w:rsidRPr="00C243EA">
        <w:rPr>
          <w:sz w:val="26"/>
        </w:rPr>
        <w:t xml:space="preserve"> млн.рублей (АППГ – </w:t>
      </w:r>
      <w:r w:rsidR="00E81629" w:rsidRPr="00C243EA">
        <w:rPr>
          <w:sz w:val="26"/>
        </w:rPr>
        <w:t>380,7</w:t>
      </w:r>
      <w:r w:rsidRPr="00C243EA">
        <w:rPr>
          <w:sz w:val="26"/>
        </w:rPr>
        <w:t xml:space="preserve"> млн. рублей).</w:t>
      </w:r>
      <w:r w:rsidR="00E81629" w:rsidRPr="00C243EA">
        <w:rPr>
          <w:sz w:val="26"/>
        </w:rPr>
        <w:t xml:space="preserve"> Численность работников на 01.01</w:t>
      </w:r>
      <w:r w:rsidRPr="00C243EA">
        <w:rPr>
          <w:sz w:val="26"/>
        </w:rPr>
        <w:t>.202</w:t>
      </w:r>
      <w:r w:rsidR="00E81629" w:rsidRPr="00C243EA">
        <w:rPr>
          <w:sz w:val="26"/>
        </w:rPr>
        <w:t>1</w:t>
      </w:r>
      <w:r w:rsidR="00DD01AD">
        <w:rPr>
          <w:sz w:val="26"/>
        </w:rPr>
        <w:t>г. составляет 125 человек</w:t>
      </w:r>
      <w:r w:rsidRPr="00C243EA">
        <w:rPr>
          <w:sz w:val="26"/>
        </w:rPr>
        <w:t xml:space="preserve"> (АППГ – 14</w:t>
      </w:r>
      <w:r w:rsidR="00E81629" w:rsidRPr="00C243EA">
        <w:rPr>
          <w:sz w:val="26"/>
        </w:rPr>
        <w:t>0</w:t>
      </w:r>
      <w:r w:rsidRPr="00C243EA">
        <w:rPr>
          <w:sz w:val="26"/>
        </w:rPr>
        <w:t xml:space="preserve"> чел.). Финансовый результат предприятия в отчетном периоде – прибыль; </w:t>
      </w:r>
    </w:p>
    <w:p w:rsidR="00D112AE" w:rsidRPr="00C243EA" w:rsidRDefault="00622A26">
      <w:pPr>
        <w:pStyle w:val="Default"/>
        <w:ind w:firstLine="708"/>
        <w:jc w:val="both"/>
        <w:rPr>
          <w:color w:val="auto"/>
          <w:sz w:val="26"/>
        </w:rPr>
      </w:pPr>
      <w:r w:rsidRPr="00C243EA">
        <w:rPr>
          <w:color w:val="auto"/>
          <w:sz w:val="26"/>
        </w:rPr>
        <w:t xml:space="preserve">-  МУ ПАТП основной вид деятельности - перевозка пассажиров автомобильным транспортом. За </w:t>
      </w:r>
      <w:r w:rsidR="00D8026E" w:rsidRPr="00C243EA">
        <w:rPr>
          <w:color w:val="auto"/>
          <w:sz w:val="26"/>
        </w:rPr>
        <w:t>2020 год</w:t>
      </w:r>
      <w:r w:rsidRPr="00C243EA">
        <w:rPr>
          <w:color w:val="auto"/>
          <w:sz w:val="26"/>
        </w:rPr>
        <w:t xml:space="preserve"> по основному виду деятельности выполнено работ на </w:t>
      </w:r>
      <w:r w:rsidR="00D8026E" w:rsidRPr="00C243EA">
        <w:rPr>
          <w:color w:val="auto"/>
          <w:sz w:val="26"/>
        </w:rPr>
        <w:t>28,2</w:t>
      </w:r>
      <w:r w:rsidRPr="00C243EA">
        <w:rPr>
          <w:color w:val="auto"/>
          <w:sz w:val="26"/>
        </w:rPr>
        <w:t xml:space="preserve"> млн. руб. (АППГ – </w:t>
      </w:r>
      <w:r w:rsidR="00D8026E" w:rsidRPr="00C243EA">
        <w:rPr>
          <w:color w:val="auto"/>
          <w:sz w:val="26"/>
        </w:rPr>
        <w:t>34,1</w:t>
      </w:r>
      <w:r w:rsidRPr="00C243EA">
        <w:rPr>
          <w:color w:val="auto"/>
          <w:sz w:val="26"/>
        </w:rPr>
        <w:t xml:space="preserve"> млн.руб.). Численность работников на 01.</w:t>
      </w:r>
      <w:r w:rsidR="00D8026E" w:rsidRPr="00C243EA">
        <w:rPr>
          <w:color w:val="auto"/>
          <w:sz w:val="26"/>
        </w:rPr>
        <w:t>01</w:t>
      </w:r>
      <w:r w:rsidRPr="00C243EA">
        <w:rPr>
          <w:color w:val="auto"/>
          <w:sz w:val="26"/>
        </w:rPr>
        <w:t>.202</w:t>
      </w:r>
      <w:r w:rsidR="00D8026E" w:rsidRPr="00C243EA">
        <w:rPr>
          <w:color w:val="auto"/>
          <w:sz w:val="26"/>
        </w:rPr>
        <w:t>1</w:t>
      </w:r>
      <w:r w:rsidRPr="00C243EA">
        <w:rPr>
          <w:color w:val="auto"/>
          <w:sz w:val="26"/>
        </w:rPr>
        <w:t>г. составляет 12</w:t>
      </w:r>
      <w:r w:rsidR="00D8026E" w:rsidRPr="00C243EA">
        <w:rPr>
          <w:color w:val="auto"/>
          <w:sz w:val="26"/>
        </w:rPr>
        <w:t>1</w:t>
      </w:r>
      <w:r w:rsidRPr="00C243EA">
        <w:rPr>
          <w:color w:val="auto"/>
          <w:sz w:val="26"/>
        </w:rPr>
        <w:t xml:space="preserve"> человек, что больше аналогичного периода прошлого года на </w:t>
      </w:r>
      <w:r w:rsidR="00D8026E" w:rsidRPr="00C243EA">
        <w:rPr>
          <w:color w:val="auto"/>
          <w:sz w:val="26"/>
        </w:rPr>
        <w:t>2</w:t>
      </w:r>
      <w:r w:rsidRPr="00C243EA">
        <w:rPr>
          <w:color w:val="auto"/>
          <w:sz w:val="26"/>
        </w:rPr>
        <w:t xml:space="preserve"> человек</w:t>
      </w:r>
      <w:r w:rsidR="00D8026E" w:rsidRPr="00C243EA">
        <w:rPr>
          <w:color w:val="auto"/>
          <w:sz w:val="26"/>
        </w:rPr>
        <w:t>а</w:t>
      </w:r>
      <w:r w:rsidRPr="00C243EA">
        <w:rPr>
          <w:color w:val="auto"/>
          <w:sz w:val="26"/>
        </w:rPr>
        <w:t xml:space="preserve">. Финансовый результат предприятия в отчетном периоде – убыток.  </w:t>
      </w:r>
    </w:p>
    <w:p w:rsidR="00165BA9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Протяженность улично-дорожной сети общего пользования на территории города составляет 77,3 км, из них 61,1 км с твердым покрытием. По состоянию на 01.</w:t>
      </w:r>
      <w:r w:rsidR="00043D9B" w:rsidRPr="00C243EA">
        <w:rPr>
          <w:sz w:val="26"/>
        </w:rPr>
        <w:t>01</w:t>
      </w:r>
      <w:r w:rsidRPr="00C243EA">
        <w:rPr>
          <w:sz w:val="26"/>
        </w:rPr>
        <w:t>.202</w:t>
      </w:r>
      <w:r w:rsidR="00043D9B" w:rsidRPr="00C243EA">
        <w:rPr>
          <w:sz w:val="26"/>
        </w:rPr>
        <w:t>1</w:t>
      </w:r>
      <w:r w:rsidRPr="00C243EA">
        <w:rPr>
          <w:sz w:val="26"/>
        </w:rPr>
        <w:t xml:space="preserve"> из 77,3 км. городских улиц 63,3% имеют электрическое освещение (48,9 км.). Протяженность городских маршрутов составляет 178,1 км. 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предприятие, количество </w:t>
      </w:r>
      <w:r w:rsidRPr="00C243EA">
        <w:rPr>
          <w:color w:val="000000" w:themeColor="text1"/>
          <w:sz w:val="26"/>
        </w:rPr>
        <w:t xml:space="preserve">автобусных маршрутов в городском сообщении - </w:t>
      </w:r>
      <w:r w:rsidR="00165BA9" w:rsidRPr="00C243EA">
        <w:rPr>
          <w:color w:val="000000" w:themeColor="text1"/>
          <w:sz w:val="26"/>
        </w:rPr>
        <w:t>13</w:t>
      </w:r>
      <w:r w:rsidRPr="00C243EA">
        <w:rPr>
          <w:color w:val="000000" w:themeColor="text1"/>
          <w:sz w:val="26"/>
        </w:rPr>
        <w:t xml:space="preserve"> единиц,</w:t>
      </w:r>
      <w:r w:rsidRPr="00C243EA">
        <w:rPr>
          <w:sz w:val="26"/>
        </w:rPr>
        <w:t xml:space="preserve"> </w:t>
      </w:r>
      <w:r w:rsidR="00DD01AD">
        <w:rPr>
          <w:sz w:val="26"/>
        </w:rPr>
        <w:t>с</w:t>
      </w:r>
      <w:r w:rsidR="00165BA9" w:rsidRPr="00C243EA">
        <w:rPr>
          <w:sz w:val="26"/>
        </w:rPr>
        <w:t>реднесписочное количество автобусов на городских маршрутах – 38 ед.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За 2020 года на внутригородских маршрутах перевезено </w:t>
      </w:r>
      <w:r w:rsidR="00043D9B" w:rsidRPr="00C243EA">
        <w:rPr>
          <w:sz w:val="26"/>
        </w:rPr>
        <w:t>1 008,4</w:t>
      </w:r>
      <w:r w:rsidRPr="00C243EA">
        <w:rPr>
          <w:sz w:val="26"/>
        </w:rPr>
        <w:t xml:space="preserve"> тыс. человек.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УДС города Пыть-Ях, выявленные нарушения и недостатки указываются в актах со сроками их устранения ответственному предприятию.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В результате проведения указанных мероприятий УДС города содержится в нормативах, предусмотренных государственным стандартом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В рамках реализации муниципальной программы «Современная транспортная система города Пыть-Яха» </w:t>
      </w:r>
      <w:r w:rsidR="00DD01AD">
        <w:rPr>
          <w:sz w:val="26"/>
        </w:rPr>
        <w:t>завершен</w:t>
      </w:r>
      <w:r w:rsidRPr="00C243EA">
        <w:rPr>
          <w:sz w:val="26"/>
        </w:rPr>
        <w:t xml:space="preserve"> капитальный ремонт </w:t>
      </w:r>
      <w:r w:rsidR="002040F8">
        <w:rPr>
          <w:sz w:val="26"/>
        </w:rPr>
        <w:t xml:space="preserve">2-го участка </w:t>
      </w:r>
      <w:r w:rsidRPr="00C243EA">
        <w:rPr>
          <w:sz w:val="26"/>
        </w:rPr>
        <w:t xml:space="preserve">ул. Романа Кузоваткина.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Телефонная связь в городе представлена двумя предприятиями: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lastRenderedPageBreak/>
        <w:t>- ОАО «Ростелеком» Нефтеюганский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D112AE" w:rsidRPr="00C243EA" w:rsidRDefault="00622A26" w:rsidP="00C764D6">
      <w:pPr>
        <w:ind w:firstLine="708"/>
        <w:jc w:val="both"/>
        <w:rPr>
          <w:sz w:val="26"/>
        </w:rPr>
      </w:pPr>
      <w:r w:rsidRPr="00C243EA">
        <w:rPr>
          <w:sz w:val="26"/>
        </w:rPr>
        <w:t>- ОАО МТС Центр Услуг Связи в ХМАО-Югре ЗАО «Комстар Регион».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Также на территории города услуги связи оказывают сотовые операт</w:t>
      </w:r>
      <w:r w:rsidR="00C764D6" w:rsidRPr="00C243EA">
        <w:rPr>
          <w:sz w:val="26"/>
        </w:rPr>
        <w:t xml:space="preserve">оры Мегафон, Билайн, Ростелеком, </w:t>
      </w:r>
      <w:r w:rsidRPr="00C243EA">
        <w:rPr>
          <w:sz w:val="26"/>
        </w:rPr>
        <w:t>Мотив Телеком, Теlе2.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</w:t>
      </w:r>
      <w:r w:rsidR="00DD01AD">
        <w:rPr>
          <w:sz w:val="26"/>
        </w:rPr>
        <w:t>ых устройств.</w:t>
      </w:r>
      <w:r w:rsidRPr="00C243EA">
        <w:rPr>
          <w:sz w:val="26"/>
        </w:rPr>
        <w:t xml:space="preserve"> </w:t>
      </w:r>
    </w:p>
    <w:p w:rsidR="00D112AE" w:rsidRPr="00C243EA" w:rsidRDefault="00D112AE">
      <w:pPr>
        <w:ind w:left="2112" w:firstLine="720"/>
        <w:jc w:val="both"/>
        <w:rPr>
          <w:sz w:val="26"/>
        </w:rPr>
      </w:pPr>
    </w:p>
    <w:p w:rsidR="00D112AE" w:rsidRPr="00C243EA" w:rsidRDefault="00622A26">
      <w:pPr>
        <w:ind w:left="2112" w:firstLine="720"/>
        <w:jc w:val="both"/>
        <w:rPr>
          <w:sz w:val="26"/>
          <w:szCs w:val="26"/>
        </w:rPr>
      </w:pPr>
      <w:r w:rsidRPr="00C243EA">
        <w:rPr>
          <w:sz w:val="26"/>
          <w:szCs w:val="26"/>
        </w:rPr>
        <w:fldChar w:fldCharType="begin"/>
      </w:r>
      <w:r w:rsidRPr="00C243EA">
        <w:rPr>
          <w:sz w:val="26"/>
          <w:szCs w:val="26"/>
        </w:rPr>
        <w:instrText xml:space="preserve"> HYPERLINK  \l "_Малое_предпринимательство" </w:instrText>
      </w:r>
      <w:r w:rsidRPr="00C243EA">
        <w:rPr>
          <w:sz w:val="26"/>
          <w:szCs w:val="26"/>
        </w:rPr>
        <w:fldChar w:fldCharType="separate"/>
      </w:r>
      <w:r w:rsidRPr="00C243EA">
        <w:rPr>
          <w:sz w:val="26"/>
          <w:szCs w:val="26"/>
        </w:rPr>
        <w:t>Охрана окружающей среды</w:t>
      </w:r>
    </w:p>
    <w:p w:rsidR="00D112AE" w:rsidRPr="00C243EA" w:rsidRDefault="00622A26">
      <w:pPr>
        <w:ind w:left="2112" w:firstLine="720"/>
        <w:jc w:val="both"/>
        <w:rPr>
          <w:sz w:val="26"/>
        </w:rPr>
      </w:pPr>
      <w:r w:rsidRPr="00C243EA">
        <w:rPr>
          <w:sz w:val="26"/>
          <w:szCs w:val="26"/>
        </w:rPr>
        <w:fldChar w:fldCharType="end"/>
      </w:r>
    </w:p>
    <w:p w:rsidR="00D112AE" w:rsidRPr="00C243EA" w:rsidRDefault="00622A26">
      <w:pPr>
        <w:widowControl w:val="0"/>
        <w:ind w:firstLine="720"/>
        <w:jc w:val="both"/>
        <w:rPr>
          <w:sz w:val="26"/>
        </w:rPr>
      </w:pPr>
      <w:r w:rsidRPr="00C243EA">
        <w:rPr>
          <w:sz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</w:t>
      </w:r>
      <w:r w:rsidR="00DD01AD">
        <w:rPr>
          <w:sz w:val="26"/>
        </w:rPr>
        <w:t xml:space="preserve">за </w:t>
      </w:r>
      <w:r w:rsidRPr="00C243EA">
        <w:rPr>
          <w:sz w:val="26"/>
        </w:rPr>
        <w:t xml:space="preserve">2020 год </w:t>
      </w:r>
      <w:r w:rsidR="00DD01AD">
        <w:rPr>
          <w:sz w:val="26"/>
        </w:rPr>
        <w:t>затрачено</w:t>
      </w:r>
      <w:r w:rsidRPr="00C243EA">
        <w:rPr>
          <w:sz w:val="26"/>
        </w:rPr>
        <w:t xml:space="preserve"> </w:t>
      </w:r>
      <w:r w:rsidR="00745B22" w:rsidRPr="00C243EA">
        <w:rPr>
          <w:sz w:val="26"/>
        </w:rPr>
        <w:t>3 708,7</w:t>
      </w:r>
      <w:r w:rsidRPr="00C243EA">
        <w:rPr>
          <w:sz w:val="26"/>
        </w:rPr>
        <w:t xml:space="preserve"> тыс.руб. </w:t>
      </w:r>
    </w:p>
    <w:p w:rsidR="00D112AE" w:rsidRPr="00DD01AD" w:rsidRDefault="00622A26" w:rsidP="00DD01AD">
      <w:pPr>
        <w:widowControl w:val="0"/>
        <w:ind w:firstLine="720"/>
        <w:jc w:val="both"/>
        <w:rPr>
          <w:sz w:val="26"/>
        </w:rPr>
      </w:pPr>
      <w:r w:rsidRPr="00C243EA">
        <w:rPr>
          <w:sz w:val="26"/>
        </w:rPr>
        <w:t xml:space="preserve">В рамках программы </w:t>
      </w:r>
      <w:r w:rsidR="00DD01AD">
        <w:rPr>
          <w:sz w:val="26"/>
        </w:rPr>
        <w:t xml:space="preserve">выполнены </w:t>
      </w:r>
      <w:r w:rsidR="00DD01AD">
        <w:rPr>
          <w:sz w:val="26"/>
          <w:szCs w:val="26"/>
        </w:rPr>
        <w:t>м</w:t>
      </w:r>
      <w:r w:rsidRPr="00C243EA">
        <w:rPr>
          <w:sz w:val="26"/>
          <w:szCs w:val="26"/>
        </w:rPr>
        <w:t>ероприятия по Международной экологической акции «Спасти и сохранить» на территории города Пыть-Ях не проводились в связи с объявленной пандемией COVID-19.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29.08.2020 проведен общегородской субботник по очистке от бытового мусора и древесного хлама берегов и акваторий водных объектов, участие в данном мероприятии приняли участие городские организации и предприятия всех форм собственности.</w:t>
      </w:r>
    </w:p>
    <w:p w:rsidR="00745B22" w:rsidRPr="00C243EA" w:rsidRDefault="00745B22" w:rsidP="00745B22">
      <w:pPr>
        <w:widowControl w:val="0"/>
        <w:ind w:firstLine="720"/>
        <w:jc w:val="both"/>
        <w:rPr>
          <w:sz w:val="26"/>
          <w:szCs w:val="26"/>
        </w:rPr>
      </w:pPr>
      <w:r w:rsidRPr="00C243EA">
        <w:rPr>
          <w:sz w:val="26"/>
          <w:szCs w:val="26"/>
        </w:rPr>
        <w:t>В рамках реализации мероприятия по ликвидации несанкционированных свалок был заключен муниципальный контракт с ИП Жукова Н.И. на сумму 390,3 тыс. руб., очищена территория площадью 5 га, вывезено мусора 441,0 м</w:t>
      </w:r>
      <w:r w:rsidRPr="00C243EA">
        <w:rPr>
          <w:sz w:val="26"/>
          <w:szCs w:val="26"/>
          <w:vertAlign w:val="superscript"/>
        </w:rPr>
        <w:t>3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В целях охраны го</w:t>
      </w:r>
      <w:r w:rsidR="00DD01AD">
        <w:rPr>
          <w:sz w:val="26"/>
        </w:rPr>
        <w:t>родских лесов, лесопарковых зон</w:t>
      </w:r>
      <w:r w:rsidRPr="00C243EA">
        <w:rPr>
          <w:sz w:val="26"/>
        </w:rPr>
        <w:t xml:space="preserve"> проводятся профилактические мероприятия, санитарное содержание, санитарная и выборочная рубка поврежденных деревьев, проводится покос травы вдоль тропинок в лесопарковых зонах.  В весенне-летний период еженедельно проводится патрулирование территории городских лесов. С целью предупреждения нарушения правил поведения в городском лесу, лесопарковых зонах установлены аншлаги противопожарной и лесозащитной тематики. В июне произведена санитарная вырубка сухостоя в лесопарковых зонах и лесных массивах, прилегающих к границам города.</w:t>
      </w:r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jc w:val="center"/>
        <w:rPr>
          <w:sz w:val="26"/>
          <w:szCs w:val="26"/>
        </w:rPr>
      </w:pPr>
      <w:r w:rsidRPr="00C243EA">
        <w:rPr>
          <w:sz w:val="26"/>
          <w:szCs w:val="26"/>
        </w:rPr>
        <w:t>Финансы</w:t>
      </w:r>
    </w:p>
    <w:p w:rsidR="00D112AE" w:rsidRPr="00C243EA" w:rsidRDefault="00D112AE">
      <w:pPr>
        <w:ind w:firstLine="720"/>
        <w:jc w:val="both"/>
        <w:rPr>
          <w:sz w:val="26"/>
        </w:rPr>
      </w:pPr>
    </w:p>
    <w:p w:rsidR="00D112AE" w:rsidRPr="00C243EA" w:rsidRDefault="00622A26">
      <w:pPr>
        <w:suppressAutoHyphens/>
        <w:ind w:firstLine="708"/>
        <w:jc w:val="both"/>
        <w:rPr>
          <w:sz w:val="26"/>
        </w:rPr>
      </w:pPr>
      <w:r w:rsidRPr="00C243EA">
        <w:rPr>
          <w:sz w:val="26"/>
        </w:rPr>
        <w:t>Исполнение доходной части бюджета мун</w:t>
      </w:r>
      <w:r w:rsidR="007B4B9C" w:rsidRPr="00C243EA">
        <w:rPr>
          <w:sz w:val="26"/>
        </w:rPr>
        <w:t>иципального образования на 01.01</w:t>
      </w:r>
      <w:r w:rsidRPr="00C243EA">
        <w:rPr>
          <w:sz w:val="26"/>
        </w:rPr>
        <w:t>.202</w:t>
      </w:r>
      <w:r w:rsidR="007B4B9C" w:rsidRPr="00C243EA">
        <w:rPr>
          <w:sz w:val="26"/>
        </w:rPr>
        <w:t>1</w:t>
      </w:r>
      <w:r w:rsidRPr="00C243EA">
        <w:rPr>
          <w:sz w:val="26"/>
        </w:rPr>
        <w:t xml:space="preserve"> г. составило </w:t>
      </w:r>
      <w:r w:rsidR="007B4B9C" w:rsidRPr="00C243EA">
        <w:rPr>
          <w:sz w:val="26"/>
        </w:rPr>
        <w:t>4 649,7</w:t>
      </w:r>
      <w:r w:rsidRPr="00C243EA">
        <w:rPr>
          <w:sz w:val="26"/>
        </w:rPr>
        <w:t xml:space="preserve"> млн. руб. (АППГ- (+) </w:t>
      </w:r>
      <w:r w:rsidR="00A54944" w:rsidRPr="00C243EA">
        <w:rPr>
          <w:sz w:val="26"/>
        </w:rPr>
        <w:t>2 996,3</w:t>
      </w:r>
      <w:r w:rsidRPr="00C243EA">
        <w:rPr>
          <w:sz w:val="26"/>
        </w:rPr>
        <w:t xml:space="preserve"> млн.руб.).  В сравнении с аналогичным периодом прошлого года расходы бюджета увеличились на 17,3% и составили </w:t>
      </w:r>
      <w:r w:rsidR="007B4B9C" w:rsidRPr="00C243EA">
        <w:rPr>
          <w:sz w:val="26"/>
        </w:rPr>
        <w:t>4 615,1</w:t>
      </w:r>
      <w:r w:rsidRPr="00C243EA">
        <w:rPr>
          <w:sz w:val="26"/>
        </w:rPr>
        <w:t xml:space="preserve"> млн. руб. </w:t>
      </w:r>
      <w:r w:rsidR="007B4B9C" w:rsidRPr="00C243EA">
        <w:rPr>
          <w:sz w:val="26"/>
        </w:rPr>
        <w:t>Профицит</w:t>
      </w:r>
      <w:r w:rsidRPr="00C243EA">
        <w:rPr>
          <w:sz w:val="26"/>
        </w:rPr>
        <w:t xml:space="preserve"> бюджета составил </w:t>
      </w:r>
      <w:r w:rsidR="00900C23" w:rsidRPr="00C243EA">
        <w:rPr>
          <w:sz w:val="26"/>
        </w:rPr>
        <w:t>34,7 млн.</w:t>
      </w:r>
      <w:r w:rsidRPr="00C243EA">
        <w:rPr>
          <w:sz w:val="26"/>
        </w:rPr>
        <w:t xml:space="preserve"> руб.</w:t>
      </w:r>
    </w:p>
    <w:p w:rsidR="00D112AE" w:rsidRPr="00C243EA" w:rsidRDefault="00622A26">
      <w:pPr>
        <w:suppressAutoHyphens/>
        <w:jc w:val="both"/>
        <w:rPr>
          <w:sz w:val="26"/>
        </w:rPr>
      </w:pPr>
      <w:r w:rsidRPr="00C243EA">
        <w:rPr>
          <w:sz w:val="26"/>
        </w:rPr>
        <w:tab/>
      </w:r>
      <w:r w:rsidR="00A54944" w:rsidRPr="00C243EA">
        <w:rPr>
          <w:sz w:val="26"/>
        </w:rPr>
        <w:t>Мероприятия по росту доходов бюджета муниципального образования за 2020 год исполнены в сумме 26 442,2 тыс. руб., что составляет 100,7% к плану на 2020 год.</w:t>
      </w:r>
    </w:p>
    <w:p w:rsidR="00A54944" w:rsidRPr="00C243EA" w:rsidRDefault="00A54944" w:rsidP="00A54944">
      <w:pPr>
        <w:suppressAutoHyphens/>
        <w:ind w:firstLine="708"/>
        <w:jc w:val="both"/>
        <w:rPr>
          <w:sz w:val="26"/>
        </w:rPr>
      </w:pPr>
      <w:r w:rsidRPr="00C243EA">
        <w:rPr>
          <w:sz w:val="26"/>
        </w:rPr>
        <w:t>За 2020 год проведены мероприятия по привлечению дополнительных доходов в бю</w:t>
      </w:r>
      <w:r w:rsidR="00DD01AD">
        <w:rPr>
          <w:sz w:val="26"/>
        </w:rPr>
        <w:t>джет муниципального образовани.</w:t>
      </w:r>
    </w:p>
    <w:p w:rsidR="00A54944" w:rsidRPr="00C243EA" w:rsidRDefault="00DD01AD" w:rsidP="00A54944">
      <w:pPr>
        <w:suppressAutoHyphens/>
        <w:ind w:firstLine="708"/>
        <w:jc w:val="both"/>
        <w:rPr>
          <w:sz w:val="26"/>
        </w:rPr>
      </w:pPr>
      <w:r>
        <w:rPr>
          <w:sz w:val="26"/>
        </w:rPr>
        <w:t>Земельные отношения: п</w:t>
      </w:r>
      <w:r w:rsidR="00A54944" w:rsidRPr="00C243EA">
        <w:rPr>
          <w:sz w:val="26"/>
        </w:rPr>
        <w:t>о состоянию на 01.01.2021 предъявлено 82 претензии на сумму 59 484,4 тыс. руб., оплачено по претензиям на сумму 5 258,6 тыс.</w:t>
      </w:r>
      <w:r w:rsidR="00900C23" w:rsidRPr="00C243EA">
        <w:rPr>
          <w:sz w:val="26"/>
        </w:rPr>
        <w:t>руб.</w:t>
      </w:r>
      <w:r w:rsidR="00A54944" w:rsidRPr="00C243EA">
        <w:rPr>
          <w:sz w:val="26"/>
        </w:rPr>
        <w:t xml:space="preserve">, </w:t>
      </w:r>
      <w:r w:rsidR="00A54944" w:rsidRPr="00C243EA">
        <w:rPr>
          <w:sz w:val="26"/>
        </w:rPr>
        <w:lastRenderedPageBreak/>
        <w:t>подано 13 исковых заявлени</w:t>
      </w:r>
      <w:r>
        <w:rPr>
          <w:sz w:val="26"/>
        </w:rPr>
        <w:t>й</w:t>
      </w:r>
      <w:r w:rsidR="00A54944" w:rsidRPr="00C243EA">
        <w:rPr>
          <w:sz w:val="26"/>
        </w:rPr>
        <w:t xml:space="preserve"> на сумму</w:t>
      </w:r>
      <w:r w:rsidR="00900C23" w:rsidRPr="00C243EA">
        <w:rPr>
          <w:sz w:val="26"/>
        </w:rPr>
        <w:t xml:space="preserve"> 2 299, 9 тыс. руб., вынесено 22 решения суда на сумму 3</w:t>
      </w:r>
      <w:r w:rsidR="00A54944" w:rsidRPr="00C243EA">
        <w:rPr>
          <w:sz w:val="26"/>
        </w:rPr>
        <w:t> 990,8 тыс. руб., поступ</w:t>
      </w:r>
      <w:r w:rsidR="00900C23" w:rsidRPr="00C243EA">
        <w:rPr>
          <w:sz w:val="26"/>
        </w:rPr>
        <w:t xml:space="preserve">ило по решениям суда на сумму 3 902, 7 тыс. руб. </w:t>
      </w:r>
      <w:r w:rsidR="00A54944" w:rsidRPr="00C243EA">
        <w:rPr>
          <w:sz w:val="26"/>
        </w:rPr>
        <w:t>Пени в сум</w:t>
      </w:r>
      <w:r w:rsidR="00900C23" w:rsidRPr="00C243EA">
        <w:rPr>
          <w:sz w:val="26"/>
        </w:rPr>
        <w:t>ме 766,6 тыс.</w:t>
      </w:r>
      <w:r w:rsidR="00A54944" w:rsidRPr="00C243EA">
        <w:rPr>
          <w:sz w:val="26"/>
        </w:rPr>
        <w:t xml:space="preserve">руб. В результате ежегодной индексации размера арендной платы за земельные участки на размер уровня инфляции, по состоянию на 01.01.2021 года дополнительно поступило 5 016,5 тыс. руб. </w:t>
      </w:r>
    </w:p>
    <w:p w:rsidR="00A54944" w:rsidRPr="00C243EA" w:rsidRDefault="00DD01AD" w:rsidP="00A54944">
      <w:pPr>
        <w:suppressAutoHyphens/>
        <w:ind w:firstLine="708"/>
        <w:jc w:val="both"/>
        <w:rPr>
          <w:sz w:val="26"/>
        </w:rPr>
      </w:pPr>
      <w:r>
        <w:rPr>
          <w:sz w:val="26"/>
        </w:rPr>
        <w:t>Имущественные отношения: п</w:t>
      </w:r>
      <w:r w:rsidR="00A54944" w:rsidRPr="00C243EA">
        <w:rPr>
          <w:sz w:val="26"/>
        </w:rPr>
        <w:t>о состоянию на 01.01.2021 предъявлено 4 претензи</w:t>
      </w:r>
      <w:r>
        <w:rPr>
          <w:sz w:val="26"/>
        </w:rPr>
        <w:t>и</w:t>
      </w:r>
      <w:r w:rsidR="00A54944" w:rsidRPr="00C243EA">
        <w:rPr>
          <w:sz w:val="26"/>
        </w:rPr>
        <w:t xml:space="preserve"> на сумму 638,2 тыс. руб., полу</w:t>
      </w:r>
      <w:r w:rsidR="00900C23" w:rsidRPr="00C243EA">
        <w:rPr>
          <w:sz w:val="26"/>
        </w:rPr>
        <w:t>чено по претензиям 408, 7 тыс.</w:t>
      </w:r>
      <w:r w:rsidR="00A54944" w:rsidRPr="00C243EA">
        <w:rPr>
          <w:sz w:val="26"/>
        </w:rPr>
        <w:t>руб.</w:t>
      </w:r>
    </w:p>
    <w:p w:rsidR="00A54944" w:rsidRPr="00C243EA" w:rsidRDefault="00A54944" w:rsidP="00DD01AD">
      <w:pPr>
        <w:suppressAutoHyphens/>
        <w:ind w:firstLine="708"/>
        <w:jc w:val="both"/>
        <w:rPr>
          <w:sz w:val="26"/>
        </w:rPr>
      </w:pPr>
      <w:r w:rsidRPr="00C243EA">
        <w:rPr>
          <w:sz w:val="26"/>
        </w:rPr>
        <w:t>Недоимка по налогу на имущество физических лиц и земельному налогу посту</w:t>
      </w:r>
      <w:r w:rsidR="00900C23" w:rsidRPr="00C243EA">
        <w:rPr>
          <w:sz w:val="26"/>
        </w:rPr>
        <w:t>пила в сумме 8 320,0 тыс. руб</w:t>
      </w:r>
      <w:r w:rsidRPr="00C243EA">
        <w:rPr>
          <w:sz w:val="26"/>
        </w:rPr>
        <w:t>.</w:t>
      </w:r>
    </w:p>
    <w:p w:rsidR="00A54944" w:rsidRPr="00C243EA" w:rsidRDefault="00A54944" w:rsidP="00A54944">
      <w:pPr>
        <w:suppressAutoHyphens/>
        <w:ind w:firstLine="708"/>
        <w:jc w:val="both"/>
        <w:rPr>
          <w:sz w:val="26"/>
        </w:rPr>
      </w:pPr>
      <w:r w:rsidRPr="00C243EA">
        <w:rPr>
          <w:sz w:val="26"/>
        </w:rPr>
        <w:t>Запланированные мероприятия по оптимизации расходов бюджета муниципального образования исполнены на 100% к году, бюджетный эффект по состоянию на 01.01.2021 года составил 52 292,6 тыс. рублей, в том числе: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внесены изменения в сводную бюджетную роспись расходов бюджета на 2020 год за счет оптимизации расходов на текущее содержание органов местного самоуправления и направлены на социальные выплаты, установленные органами местного самоуправления</w:t>
      </w:r>
      <w:r w:rsidR="00DD01AD">
        <w:rPr>
          <w:sz w:val="26"/>
        </w:rPr>
        <w:t>,</w:t>
      </w:r>
      <w:r w:rsidRPr="00C243EA">
        <w:rPr>
          <w:sz w:val="26"/>
        </w:rPr>
        <w:t xml:space="preserve"> в сумме 3 711,7 тыс. рублей;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оптимизация расходов на финансовое обеспечение выполнения муниципального задания на сумму 13 510,3 тыс. рублей;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уменьшение бюджетных ассигнований и лимитов бюджетных обязательств на сумму экономии, сложившуюся в ходе закупочных процедур, составило 18 156,7 тыс. рублей;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уменьшение бюджетных ассигнований и лимитов бюджетных обязательств в размере сложившейся дебиторской задолженности по состоянию на 1 января 202</w:t>
      </w:r>
      <w:r w:rsidR="00900C23" w:rsidRPr="00C243EA">
        <w:rPr>
          <w:sz w:val="26"/>
        </w:rPr>
        <w:t>1</w:t>
      </w:r>
      <w:r w:rsidRPr="00C243EA">
        <w:rPr>
          <w:sz w:val="26"/>
        </w:rPr>
        <w:t xml:space="preserve"> года по оплате договоров текущего характера составило 7 209,3 тыс. рублей;</w:t>
      </w:r>
    </w:p>
    <w:p w:rsidR="00A54944" w:rsidRPr="00C243EA" w:rsidRDefault="00A54944" w:rsidP="00A54944">
      <w:pPr>
        <w:tabs>
          <w:tab w:val="left" w:pos="567"/>
        </w:tabs>
        <w:suppressAutoHyphens/>
        <w:jc w:val="both"/>
        <w:rPr>
          <w:sz w:val="26"/>
        </w:rPr>
      </w:pPr>
      <w:r w:rsidRPr="00C243EA">
        <w:rPr>
          <w:sz w:val="26"/>
        </w:rPr>
        <w:t>- сокращение расходов на оплату коммунальных услуг (реализация мероприятий по энергосбережению) произведено в сумме 4 978,1 тыс. рублей;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передана реализация муниципальных услуг некоммерческим организациям на сумму 4</w:t>
      </w:r>
      <w:r w:rsidR="00900C23" w:rsidRPr="00C243EA">
        <w:rPr>
          <w:sz w:val="26"/>
        </w:rPr>
        <w:t xml:space="preserve"> </w:t>
      </w:r>
      <w:r w:rsidRPr="00C243EA">
        <w:rPr>
          <w:sz w:val="26"/>
        </w:rPr>
        <w:t>726,5 тыс. рублей, в соответствии с утвержденным графиком в рамках заключенного соглашения.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ab/>
        <w:t xml:space="preserve">Мероприятия по сокращению муниципального долга и расходов на его обслуживание: 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по состоянию на 01.01.2021 г. муни</w:t>
      </w:r>
      <w:r w:rsidR="00E81629" w:rsidRPr="00C243EA">
        <w:rPr>
          <w:sz w:val="26"/>
        </w:rPr>
        <w:t>ципальный долг составил 130 000</w:t>
      </w:r>
      <w:r w:rsidRPr="00C243EA">
        <w:rPr>
          <w:sz w:val="26"/>
        </w:rPr>
        <w:t>,0 тыс.руб.;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погашение муниципального долга на 01.01.2021г. составляет 119 000,0 тыс.руб.;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отношение муниципального долга к годовому объему доходов без учета безвозмездных поступлений составляет 9,6 %;</w:t>
      </w:r>
    </w:p>
    <w:p w:rsidR="00A54944" w:rsidRPr="00C243EA" w:rsidRDefault="00A54944" w:rsidP="00A54944">
      <w:pPr>
        <w:suppressAutoHyphens/>
        <w:jc w:val="both"/>
        <w:rPr>
          <w:sz w:val="26"/>
        </w:rPr>
      </w:pPr>
      <w:r w:rsidRPr="00C243EA">
        <w:rPr>
          <w:sz w:val="26"/>
        </w:rPr>
        <w:t>- за 2020 год расходы на обслуживание муниципального долга составили 938,8 тыс. рублей.</w:t>
      </w:r>
    </w:p>
    <w:p w:rsidR="00D112AE" w:rsidRPr="00C243EA" w:rsidRDefault="00A54944" w:rsidP="00A54944">
      <w:pPr>
        <w:suppressAutoHyphens/>
        <w:ind w:firstLine="708"/>
        <w:jc w:val="both"/>
        <w:rPr>
          <w:sz w:val="26"/>
        </w:rPr>
      </w:pPr>
      <w:r w:rsidRPr="00C243EA">
        <w:rPr>
          <w:sz w:val="26"/>
        </w:rPr>
        <w:t>Бюджетный эффект по итогам 2020 год</w:t>
      </w:r>
      <w:r w:rsidR="00900C23" w:rsidRPr="00C243EA">
        <w:rPr>
          <w:sz w:val="26"/>
        </w:rPr>
        <w:t>а</w:t>
      </w:r>
      <w:r w:rsidRPr="00C243EA">
        <w:rPr>
          <w:sz w:val="26"/>
        </w:rPr>
        <w:t xml:space="preserve"> составил 78 734,8 тыс. рублей или 2,5% к исполнению собственных доходов муниципального образования.</w:t>
      </w:r>
    </w:p>
    <w:p w:rsidR="00D112AE" w:rsidRPr="00C243EA" w:rsidRDefault="00D112AE">
      <w:pPr>
        <w:suppressAutoHyphens/>
        <w:jc w:val="both"/>
        <w:rPr>
          <w:sz w:val="26"/>
        </w:rPr>
      </w:pPr>
    </w:p>
    <w:p w:rsidR="00D112AE" w:rsidRPr="00C243EA" w:rsidRDefault="00622A26">
      <w:pPr>
        <w:ind w:firstLine="720"/>
        <w:jc w:val="center"/>
        <w:rPr>
          <w:sz w:val="26"/>
        </w:rPr>
      </w:pPr>
      <w:r w:rsidRPr="00C243EA">
        <w:rPr>
          <w:sz w:val="26"/>
        </w:rPr>
        <w:t>Отрасли социальной сферы</w:t>
      </w:r>
    </w:p>
    <w:p w:rsidR="00D112AE" w:rsidRPr="00C243EA" w:rsidRDefault="00D112AE">
      <w:pPr>
        <w:ind w:firstLine="720"/>
        <w:jc w:val="center"/>
        <w:rPr>
          <w:sz w:val="26"/>
        </w:rPr>
      </w:pPr>
    </w:p>
    <w:p w:rsidR="00D112AE" w:rsidRPr="00C243EA" w:rsidRDefault="00622A26">
      <w:pPr>
        <w:ind w:firstLine="720"/>
        <w:jc w:val="center"/>
        <w:rPr>
          <w:sz w:val="26"/>
        </w:rPr>
      </w:pPr>
      <w:r w:rsidRPr="00C243EA">
        <w:rPr>
          <w:sz w:val="26"/>
        </w:rPr>
        <w:t>Демографическая ситуация</w:t>
      </w:r>
    </w:p>
    <w:p w:rsidR="00D112AE" w:rsidRPr="00C243EA" w:rsidRDefault="00D112AE">
      <w:pPr>
        <w:ind w:firstLine="720"/>
        <w:jc w:val="both"/>
        <w:rPr>
          <w:sz w:val="26"/>
        </w:rPr>
      </w:pP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t>По оценочным данным, в городе Пыть-Яхе на 01.</w:t>
      </w:r>
      <w:r w:rsidR="00143D13" w:rsidRPr="00C243EA">
        <w:rPr>
          <w:sz w:val="26"/>
        </w:rPr>
        <w:t>01</w:t>
      </w:r>
      <w:r w:rsidRPr="00C243EA">
        <w:rPr>
          <w:sz w:val="26"/>
        </w:rPr>
        <w:t>.202</w:t>
      </w:r>
      <w:r w:rsidR="00143D13" w:rsidRPr="00C243EA">
        <w:rPr>
          <w:sz w:val="26"/>
        </w:rPr>
        <w:t>1</w:t>
      </w:r>
      <w:r w:rsidRPr="00C243EA">
        <w:rPr>
          <w:sz w:val="26"/>
        </w:rPr>
        <w:t xml:space="preserve"> года числе</w:t>
      </w:r>
      <w:r w:rsidR="00143D13" w:rsidRPr="00C243EA">
        <w:rPr>
          <w:sz w:val="26"/>
        </w:rPr>
        <w:t>нность населения составляет 39 357</w:t>
      </w:r>
      <w:r w:rsidRPr="00C243EA">
        <w:rPr>
          <w:sz w:val="26"/>
        </w:rPr>
        <w:t xml:space="preserve"> чел. По отношению к 2019 год</w:t>
      </w:r>
      <w:r w:rsidR="00143D13" w:rsidRPr="00C243EA">
        <w:rPr>
          <w:sz w:val="26"/>
        </w:rPr>
        <w:t>у</w:t>
      </w:r>
      <w:r w:rsidRPr="00C243EA">
        <w:rPr>
          <w:sz w:val="26"/>
        </w:rPr>
        <w:t xml:space="preserve"> численность снизилась на </w:t>
      </w:r>
      <w:r w:rsidR="00143D13" w:rsidRPr="00C243EA">
        <w:rPr>
          <w:sz w:val="26"/>
        </w:rPr>
        <w:t>0,5</w:t>
      </w:r>
      <w:r w:rsidRPr="00C243EA">
        <w:rPr>
          <w:sz w:val="26"/>
        </w:rPr>
        <w:t xml:space="preserve">%. </w:t>
      </w:r>
    </w:p>
    <w:p w:rsidR="00D112AE" w:rsidRPr="00C243EA" w:rsidRDefault="00622A26">
      <w:pPr>
        <w:ind w:firstLine="720"/>
        <w:jc w:val="both"/>
        <w:rPr>
          <w:sz w:val="26"/>
        </w:rPr>
      </w:pPr>
      <w:r w:rsidRPr="00C243EA">
        <w:rPr>
          <w:sz w:val="26"/>
        </w:rPr>
        <w:lastRenderedPageBreak/>
        <w:t xml:space="preserve">Естественный прирост населения за </w:t>
      </w:r>
      <w:r w:rsidR="00B03740" w:rsidRPr="00C243EA">
        <w:rPr>
          <w:sz w:val="26"/>
        </w:rPr>
        <w:t>2020 год</w:t>
      </w:r>
      <w:r w:rsidRPr="00C243EA">
        <w:rPr>
          <w:sz w:val="26"/>
        </w:rPr>
        <w:t xml:space="preserve"> составил </w:t>
      </w:r>
      <w:r w:rsidR="00B03740" w:rsidRPr="00C243EA">
        <w:rPr>
          <w:sz w:val="26"/>
        </w:rPr>
        <w:t>217</w:t>
      </w:r>
      <w:r w:rsidRPr="00C243EA">
        <w:rPr>
          <w:sz w:val="26"/>
        </w:rPr>
        <w:t xml:space="preserve"> человек (АППГ – 2</w:t>
      </w:r>
      <w:r w:rsidR="00A3443C" w:rsidRPr="00C243EA">
        <w:rPr>
          <w:sz w:val="26"/>
        </w:rPr>
        <w:t>85</w:t>
      </w:r>
      <w:r w:rsidRPr="00C243EA">
        <w:rPr>
          <w:sz w:val="26"/>
        </w:rPr>
        <w:t xml:space="preserve"> чел.).  В отчетном периоде родил</w:t>
      </w:r>
      <w:r w:rsidR="00B03740" w:rsidRPr="00C243EA">
        <w:rPr>
          <w:sz w:val="26"/>
        </w:rPr>
        <w:t>ось</w:t>
      </w:r>
      <w:r w:rsidRPr="00C243EA">
        <w:rPr>
          <w:sz w:val="26"/>
        </w:rPr>
        <w:t xml:space="preserve"> </w:t>
      </w:r>
      <w:r w:rsidR="00B03740" w:rsidRPr="00C243EA">
        <w:rPr>
          <w:sz w:val="26"/>
        </w:rPr>
        <w:t>495 детей</w:t>
      </w:r>
      <w:r w:rsidRPr="00C243EA">
        <w:rPr>
          <w:sz w:val="26"/>
        </w:rPr>
        <w:t xml:space="preserve"> (АППГ – </w:t>
      </w:r>
      <w:r w:rsidR="00B03740" w:rsidRPr="00C243EA">
        <w:rPr>
          <w:sz w:val="26"/>
        </w:rPr>
        <w:t>5</w:t>
      </w:r>
      <w:r w:rsidR="00A3443C" w:rsidRPr="00C243EA">
        <w:rPr>
          <w:sz w:val="26"/>
        </w:rPr>
        <w:t>06</w:t>
      </w:r>
      <w:r w:rsidRPr="00C243EA">
        <w:rPr>
          <w:sz w:val="26"/>
        </w:rPr>
        <w:t xml:space="preserve">), зарегистрировано </w:t>
      </w:r>
      <w:r w:rsidR="00B03740" w:rsidRPr="00C243EA">
        <w:rPr>
          <w:sz w:val="26"/>
        </w:rPr>
        <w:t>278</w:t>
      </w:r>
      <w:r w:rsidRPr="00C243EA">
        <w:rPr>
          <w:sz w:val="26"/>
        </w:rPr>
        <w:t xml:space="preserve"> актов о смерти (АППГ – </w:t>
      </w:r>
      <w:r w:rsidR="00B03740" w:rsidRPr="00C243EA">
        <w:rPr>
          <w:sz w:val="26"/>
        </w:rPr>
        <w:t>2</w:t>
      </w:r>
      <w:r w:rsidR="00A3443C" w:rsidRPr="00C243EA">
        <w:rPr>
          <w:sz w:val="26"/>
        </w:rPr>
        <w:t>21</w:t>
      </w:r>
      <w:r w:rsidRPr="00C243EA">
        <w:rPr>
          <w:sz w:val="26"/>
        </w:rPr>
        <w:t>).</w:t>
      </w:r>
    </w:p>
    <w:p w:rsidR="00D112AE" w:rsidRPr="00C243EA" w:rsidRDefault="00D112AE">
      <w:pPr>
        <w:ind w:firstLine="720"/>
        <w:jc w:val="both"/>
        <w:rPr>
          <w:sz w:val="26"/>
        </w:rPr>
      </w:pPr>
    </w:p>
    <w:p w:rsidR="00D112AE" w:rsidRPr="00C243EA" w:rsidRDefault="000B1994">
      <w:pPr>
        <w:ind w:firstLine="720"/>
        <w:jc w:val="both"/>
        <w:rPr>
          <w:sz w:val="26"/>
        </w:rPr>
      </w:pPr>
      <w:r w:rsidRPr="00C243EA">
        <w:rPr>
          <w:noProof/>
          <w:sz w:val="26"/>
        </w:rPr>
        <w:drawing>
          <wp:inline distT="0" distB="0" distL="0" distR="0" wp14:anchorId="1A3B539D" wp14:editId="71036DB9">
            <wp:extent cx="5616575" cy="1847850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112AE" w:rsidRPr="00C243EA" w:rsidRDefault="00D112AE">
      <w:pPr>
        <w:ind w:firstLine="720"/>
        <w:jc w:val="both"/>
        <w:rPr>
          <w:sz w:val="26"/>
        </w:rPr>
      </w:pPr>
    </w:p>
    <w:p w:rsidR="000B1994" w:rsidRPr="00C243EA" w:rsidRDefault="000B1994">
      <w:pPr>
        <w:ind w:firstLine="720"/>
        <w:jc w:val="both"/>
        <w:rPr>
          <w:sz w:val="26"/>
        </w:rPr>
      </w:pPr>
    </w:p>
    <w:p w:rsidR="00D112AE" w:rsidRPr="00C243EA" w:rsidRDefault="00B03740">
      <w:pPr>
        <w:ind w:firstLine="720"/>
        <w:jc w:val="both"/>
        <w:rPr>
          <w:sz w:val="26"/>
        </w:rPr>
      </w:pPr>
      <w:r w:rsidRPr="00C243EA">
        <w:rPr>
          <w:sz w:val="26"/>
        </w:rPr>
        <w:t>В целом</w:t>
      </w:r>
      <w:r w:rsidR="00622A26" w:rsidRPr="00C243EA">
        <w:rPr>
          <w:sz w:val="26"/>
        </w:rPr>
        <w:t xml:space="preserve"> изменения демографических показателей выглядят следующим образом:</w:t>
      </w:r>
    </w:p>
    <w:p w:rsidR="00D112AE" w:rsidRPr="00C243EA" w:rsidRDefault="00D112AE">
      <w:pPr>
        <w:ind w:firstLine="720"/>
        <w:jc w:val="both"/>
        <w:rPr>
          <w:sz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713"/>
        <w:gridCol w:w="1701"/>
        <w:gridCol w:w="2166"/>
      </w:tblGrid>
      <w:tr w:rsidR="00D112AE" w:rsidRPr="00C243EA" w:rsidTr="00DE24F2">
        <w:trPr>
          <w:trHeight w:val="967"/>
          <w:jc w:val="center"/>
        </w:trPr>
        <w:tc>
          <w:tcPr>
            <w:tcW w:w="4140" w:type="dxa"/>
            <w:vAlign w:val="center"/>
          </w:tcPr>
          <w:p w:rsidR="00D112AE" w:rsidRPr="00C243EA" w:rsidRDefault="00622A26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Наименование</w:t>
            </w:r>
          </w:p>
        </w:tc>
        <w:tc>
          <w:tcPr>
            <w:tcW w:w="1713" w:type="dxa"/>
            <w:vAlign w:val="center"/>
          </w:tcPr>
          <w:p w:rsidR="00D112AE" w:rsidRPr="00C243EA" w:rsidRDefault="00622A26">
            <w:pPr>
              <w:jc w:val="both"/>
              <w:rPr>
                <w:sz w:val="26"/>
              </w:rPr>
            </w:pPr>
            <w:r w:rsidRPr="00C243EA">
              <w:rPr>
                <w:sz w:val="26"/>
              </w:rPr>
              <w:t>2019 г., чел.</w:t>
            </w:r>
          </w:p>
        </w:tc>
        <w:tc>
          <w:tcPr>
            <w:tcW w:w="1701" w:type="dxa"/>
            <w:vAlign w:val="center"/>
          </w:tcPr>
          <w:p w:rsidR="00D112AE" w:rsidRPr="00C243EA" w:rsidRDefault="00622A26">
            <w:pPr>
              <w:jc w:val="both"/>
              <w:rPr>
                <w:sz w:val="26"/>
              </w:rPr>
            </w:pPr>
            <w:r w:rsidRPr="00C243EA">
              <w:rPr>
                <w:sz w:val="26"/>
              </w:rPr>
              <w:t>2020 г., чел.</w:t>
            </w:r>
          </w:p>
        </w:tc>
        <w:tc>
          <w:tcPr>
            <w:tcW w:w="2166" w:type="dxa"/>
            <w:vAlign w:val="center"/>
          </w:tcPr>
          <w:p w:rsidR="00D112AE" w:rsidRPr="00C243EA" w:rsidRDefault="00622A26">
            <w:pPr>
              <w:jc w:val="both"/>
              <w:rPr>
                <w:sz w:val="26"/>
              </w:rPr>
            </w:pPr>
            <w:r w:rsidRPr="00C243EA">
              <w:rPr>
                <w:sz w:val="26"/>
              </w:rPr>
              <w:t>Темп роста (снижения), %</w:t>
            </w:r>
          </w:p>
        </w:tc>
      </w:tr>
      <w:tr w:rsidR="00D112AE" w:rsidRPr="00C243EA" w:rsidTr="00DE24F2">
        <w:trPr>
          <w:jc w:val="center"/>
        </w:trPr>
        <w:tc>
          <w:tcPr>
            <w:tcW w:w="4140" w:type="dxa"/>
            <w:vAlign w:val="center"/>
          </w:tcPr>
          <w:p w:rsidR="00D112AE" w:rsidRPr="00C243EA" w:rsidRDefault="00622A26" w:rsidP="005244DA">
            <w:pPr>
              <w:ind w:firstLine="720"/>
              <w:rPr>
                <w:sz w:val="26"/>
              </w:rPr>
            </w:pPr>
            <w:r w:rsidRPr="00C243EA">
              <w:rPr>
                <w:sz w:val="26"/>
              </w:rPr>
              <w:t>Естественный прирост</w:t>
            </w:r>
          </w:p>
        </w:tc>
        <w:tc>
          <w:tcPr>
            <w:tcW w:w="1713" w:type="dxa"/>
            <w:vAlign w:val="center"/>
          </w:tcPr>
          <w:p w:rsidR="00D112AE" w:rsidRPr="00C243EA" w:rsidRDefault="00622A26" w:rsidP="0087309B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+2</w:t>
            </w:r>
            <w:r w:rsidR="0087309B" w:rsidRPr="00C243EA">
              <w:rPr>
                <w:sz w:val="26"/>
              </w:rPr>
              <w:t>85</w:t>
            </w:r>
          </w:p>
        </w:tc>
        <w:tc>
          <w:tcPr>
            <w:tcW w:w="1701" w:type="dxa"/>
            <w:vAlign w:val="center"/>
          </w:tcPr>
          <w:p w:rsidR="00D112AE" w:rsidRPr="00C243EA" w:rsidRDefault="00143D13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+217</w:t>
            </w:r>
          </w:p>
        </w:tc>
        <w:tc>
          <w:tcPr>
            <w:tcW w:w="2166" w:type="dxa"/>
            <w:vAlign w:val="center"/>
          </w:tcPr>
          <w:p w:rsidR="00D112AE" w:rsidRPr="00C243EA" w:rsidRDefault="00622A26" w:rsidP="00A3443C">
            <w:pPr>
              <w:jc w:val="both"/>
              <w:rPr>
                <w:sz w:val="26"/>
              </w:rPr>
            </w:pPr>
            <w:r w:rsidRPr="00C243EA">
              <w:rPr>
                <w:sz w:val="26"/>
              </w:rPr>
              <w:t xml:space="preserve">       </w:t>
            </w:r>
            <w:r w:rsidR="00143D13" w:rsidRPr="00C243EA">
              <w:rPr>
                <w:sz w:val="26"/>
              </w:rPr>
              <w:t>7</w:t>
            </w:r>
            <w:r w:rsidR="00A3443C" w:rsidRPr="00C243EA">
              <w:rPr>
                <w:sz w:val="26"/>
              </w:rPr>
              <w:t>6</w:t>
            </w:r>
            <w:r w:rsidR="00143D13" w:rsidRPr="00C243EA">
              <w:rPr>
                <w:sz w:val="26"/>
              </w:rPr>
              <w:t>,1</w:t>
            </w:r>
          </w:p>
        </w:tc>
      </w:tr>
      <w:tr w:rsidR="00D112AE" w:rsidRPr="00C243EA" w:rsidTr="00DE24F2">
        <w:trPr>
          <w:trHeight w:val="231"/>
          <w:jc w:val="center"/>
        </w:trPr>
        <w:tc>
          <w:tcPr>
            <w:tcW w:w="4140" w:type="dxa"/>
            <w:vAlign w:val="center"/>
          </w:tcPr>
          <w:p w:rsidR="00D112AE" w:rsidRPr="00C243EA" w:rsidRDefault="00622A26" w:rsidP="005244DA">
            <w:pPr>
              <w:ind w:firstLine="720"/>
              <w:rPr>
                <w:sz w:val="26"/>
              </w:rPr>
            </w:pPr>
            <w:r w:rsidRPr="00C243EA">
              <w:rPr>
                <w:sz w:val="26"/>
              </w:rPr>
              <w:t>Миграционный прирост (убыль)</w:t>
            </w:r>
          </w:p>
        </w:tc>
        <w:tc>
          <w:tcPr>
            <w:tcW w:w="1713" w:type="dxa"/>
            <w:vAlign w:val="center"/>
          </w:tcPr>
          <w:p w:rsidR="00D112AE" w:rsidRPr="00C243EA" w:rsidRDefault="00B03740" w:rsidP="0087309B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-5</w:t>
            </w:r>
            <w:r w:rsidR="0087309B" w:rsidRPr="00C243EA">
              <w:rPr>
                <w:sz w:val="26"/>
              </w:rPr>
              <w:t>46</w:t>
            </w:r>
          </w:p>
        </w:tc>
        <w:tc>
          <w:tcPr>
            <w:tcW w:w="1701" w:type="dxa"/>
            <w:vAlign w:val="center"/>
          </w:tcPr>
          <w:p w:rsidR="00D112AE" w:rsidRPr="00C243EA" w:rsidRDefault="00622A26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-430</w:t>
            </w:r>
          </w:p>
        </w:tc>
        <w:tc>
          <w:tcPr>
            <w:tcW w:w="2166" w:type="dxa"/>
            <w:vAlign w:val="center"/>
          </w:tcPr>
          <w:p w:rsidR="00D112AE" w:rsidRPr="00C243EA" w:rsidRDefault="00D112AE">
            <w:pPr>
              <w:ind w:firstLine="720"/>
              <w:jc w:val="both"/>
              <w:rPr>
                <w:sz w:val="26"/>
              </w:rPr>
            </w:pPr>
          </w:p>
        </w:tc>
      </w:tr>
      <w:tr w:rsidR="00D112AE" w:rsidRPr="00C243EA" w:rsidTr="00DE24F2">
        <w:trPr>
          <w:jc w:val="center"/>
        </w:trPr>
        <w:tc>
          <w:tcPr>
            <w:tcW w:w="4140" w:type="dxa"/>
            <w:vAlign w:val="center"/>
          </w:tcPr>
          <w:p w:rsidR="00D112AE" w:rsidRPr="00C243EA" w:rsidRDefault="00622A26" w:rsidP="005244DA">
            <w:pPr>
              <w:ind w:firstLine="720"/>
              <w:rPr>
                <w:sz w:val="26"/>
              </w:rPr>
            </w:pPr>
            <w:r w:rsidRPr="00C243EA">
              <w:rPr>
                <w:sz w:val="26"/>
              </w:rPr>
              <w:t>Общий прирост населения</w:t>
            </w:r>
          </w:p>
        </w:tc>
        <w:tc>
          <w:tcPr>
            <w:tcW w:w="1713" w:type="dxa"/>
            <w:vAlign w:val="center"/>
          </w:tcPr>
          <w:p w:rsidR="00D112AE" w:rsidRPr="00C243EA" w:rsidRDefault="00622A26" w:rsidP="00B03740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-</w:t>
            </w:r>
            <w:r w:rsidR="00B03740" w:rsidRPr="00C243EA">
              <w:rPr>
                <w:sz w:val="26"/>
              </w:rPr>
              <w:t>261</w:t>
            </w:r>
          </w:p>
        </w:tc>
        <w:tc>
          <w:tcPr>
            <w:tcW w:w="1701" w:type="dxa"/>
            <w:vAlign w:val="center"/>
          </w:tcPr>
          <w:p w:rsidR="00D112AE" w:rsidRPr="00C243EA" w:rsidRDefault="00622A26" w:rsidP="00143D13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-2</w:t>
            </w:r>
            <w:r w:rsidR="00143D13" w:rsidRPr="00C243EA">
              <w:rPr>
                <w:sz w:val="26"/>
              </w:rPr>
              <w:t>13</w:t>
            </w:r>
          </w:p>
        </w:tc>
        <w:tc>
          <w:tcPr>
            <w:tcW w:w="2166" w:type="dxa"/>
            <w:vAlign w:val="center"/>
          </w:tcPr>
          <w:p w:rsidR="00D112AE" w:rsidRPr="00C243EA" w:rsidRDefault="00D112AE">
            <w:pPr>
              <w:ind w:firstLine="720"/>
              <w:jc w:val="both"/>
              <w:rPr>
                <w:sz w:val="26"/>
              </w:rPr>
            </w:pPr>
          </w:p>
        </w:tc>
      </w:tr>
      <w:tr w:rsidR="00D112AE" w:rsidRPr="00C243EA" w:rsidTr="00DE24F2">
        <w:trPr>
          <w:jc w:val="center"/>
        </w:trPr>
        <w:tc>
          <w:tcPr>
            <w:tcW w:w="4140" w:type="dxa"/>
            <w:vAlign w:val="center"/>
          </w:tcPr>
          <w:p w:rsidR="00D112AE" w:rsidRPr="00C243EA" w:rsidRDefault="00622A26" w:rsidP="005244DA">
            <w:pPr>
              <w:ind w:firstLine="720"/>
              <w:rPr>
                <w:sz w:val="26"/>
              </w:rPr>
            </w:pPr>
            <w:r w:rsidRPr="00C243EA">
              <w:rPr>
                <w:sz w:val="26"/>
              </w:rPr>
              <w:t>Численность населения на конец периода</w:t>
            </w:r>
          </w:p>
        </w:tc>
        <w:tc>
          <w:tcPr>
            <w:tcW w:w="1713" w:type="dxa"/>
            <w:vAlign w:val="center"/>
          </w:tcPr>
          <w:p w:rsidR="00D112AE" w:rsidRPr="00C243EA" w:rsidRDefault="00622A26" w:rsidP="00B03740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39 </w:t>
            </w:r>
            <w:r w:rsidR="00B03740" w:rsidRPr="00C243EA">
              <w:rPr>
                <w:sz w:val="26"/>
              </w:rPr>
              <w:t>570</w:t>
            </w:r>
          </w:p>
        </w:tc>
        <w:tc>
          <w:tcPr>
            <w:tcW w:w="1701" w:type="dxa"/>
            <w:vAlign w:val="center"/>
          </w:tcPr>
          <w:p w:rsidR="00D112AE" w:rsidRPr="00C243EA" w:rsidRDefault="00D112AE">
            <w:pPr>
              <w:ind w:firstLine="720"/>
              <w:jc w:val="both"/>
              <w:rPr>
                <w:sz w:val="26"/>
              </w:rPr>
            </w:pPr>
          </w:p>
          <w:p w:rsidR="00D112AE" w:rsidRPr="00C243EA" w:rsidRDefault="00622A26">
            <w:pPr>
              <w:ind w:firstLine="720"/>
              <w:jc w:val="both"/>
              <w:rPr>
                <w:sz w:val="26"/>
              </w:rPr>
            </w:pPr>
            <w:r w:rsidRPr="00C243EA">
              <w:rPr>
                <w:sz w:val="26"/>
              </w:rPr>
              <w:t>39 </w:t>
            </w:r>
            <w:r w:rsidR="00143D13" w:rsidRPr="00C243EA">
              <w:rPr>
                <w:sz w:val="26"/>
              </w:rPr>
              <w:t>357</w:t>
            </w:r>
          </w:p>
          <w:p w:rsidR="00D112AE" w:rsidRPr="00C243EA" w:rsidRDefault="00D112AE">
            <w:pPr>
              <w:ind w:firstLine="720"/>
              <w:jc w:val="both"/>
              <w:rPr>
                <w:sz w:val="26"/>
              </w:rPr>
            </w:pPr>
          </w:p>
        </w:tc>
        <w:tc>
          <w:tcPr>
            <w:tcW w:w="2166" w:type="dxa"/>
            <w:vAlign w:val="center"/>
          </w:tcPr>
          <w:p w:rsidR="00D112AE" w:rsidRPr="00C243EA" w:rsidRDefault="00622A26" w:rsidP="00143D13">
            <w:pPr>
              <w:jc w:val="both"/>
              <w:rPr>
                <w:sz w:val="26"/>
              </w:rPr>
            </w:pPr>
            <w:r w:rsidRPr="00C243EA">
              <w:rPr>
                <w:sz w:val="26"/>
              </w:rPr>
              <w:t xml:space="preserve">       </w:t>
            </w:r>
            <w:r w:rsidR="00143D13" w:rsidRPr="00C243EA">
              <w:rPr>
                <w:sz w:val="26"/>
              </w:rPr>
              <w:t>99,5</w:t>
            </w:r>
          </w:p>
        </w:tc>
      </w:tr>
    </w:tbl>
    <w:p w:rsidR="00D112AE" w:rsidRPr="00C243EA" w:rsidRDefault="00622A26">
      <w:pPr>
        <w:keepNext/>
        <w:ind w:left="3540"/>
        <w:outlineLvl w:val="0"/>
        <w:rPr>
          <w:sz w:val="26"/>
        </w:rPr>
      </w:pPr>
      <w:bookmarkStart w:id="41" w:name="_Малое_предпринимательство"/>
      <w:bookmarkStart w:id="42" w:name="_Toc480793303"/>
      <w:bookmarkStart w:id="43" w:name="_Toc528078030"/>
      <w:bookmarkStart w:id="44" w:name="_Toc440987028"/>
      <w:bookmarkEnd w:id="41"/>
      <w:r w:rsidRPr="00C243EA">
        <w:rPr>
          <w:sz w:val="26"/>
        </w:rPr>
        <w:t xml:space="preserve">     </w:t>
      </w:r>
    </w:p>
    <w:p w:rsidR="00D112AE" w:rsidRPr="00C243EA" w:rsidRDefault="00622A26">
      <w:pPr>
        <w:keepNext/>
        <w:ind w:left="3540"/>
        <w:outlineLvl w:val="0"/>
        <w:rPr>
          <w:sz w:val="26"/>
        </w:rPr>
      </w:pPr>
      <w:r w:rsidRPr="00C243EA">
        <w:rPr>
          <w:sz w:val="26"/>
        </w:rPr>
        <w:t xml:space="preserve">     Труд и занятость</w:t>
      </w:r>
      <w:bookmarkEnd w:id="42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keepNext/>
        <w:jc w:val="center"/>
        <w:outlineLvl w:val="1"/>
        <w:rPr>
          <w:sz w:val="26"/>
        </w:rPr>
      </w:pPr>
      <w:bookmarkStart w:id="45" w:name="_Toc378061284"/>
      <w:bookmarkStart w:id="46" w:name="_Toc480793304"/>
      <w:bookmarkStart w:id="47" w:name="_Toc133723829"/>
      <w:bookmarkStart w:id="48" w:name="_Toc378061285"/>
      <w:r w:rsidRPr="00C243EA">
        <w:rPr>
          <w:sz w:val="26"/>
        </w:rPr>
        <w:t>Занятость</w:t>
      </w:r>
      <w:bookmarkEnd w:id="45"/>
      <w:bookmarkEnd w:id="46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Среднесписочная численность работников крупных и средних предприятий (без внешних совместителей) по оценочным данным за </w:t>
      </w:r>
      <w:r w:rsidR="003A47DF" w:rsidRPr="00C243EA">
        <w:rPr>
          <w:sz w:val="26"/>
        </w:rPr>
        <w:t>2020 год</w:t>
      </w:r>
      <w:r w:rsidRPr="00C243EA">
        <w:rPr>
          <w:sz w:val="26"/>
        </w:rPr>
        <w:t xml:space="preserve"> составила 15,</w:t>
      </w:r>
      <w:r w:rsidR="003A47DF" w:rsidRPr="00C243EA">
        <w:rPr>
          <w:sz w:val="26"/>
        </w:rPr>
        <w:t>8</w:t>
      </w:r>
      <w:r w:rsidRPr="00C243EA">
        <w:rPr>
          <w:sz w:val="26"/>
        </w:rPr>
        <w:t xml:space="preserve"> тыс. человек.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В соответствии с утвержденным Прогнозом социально-экономического развития города на 202</w:t>
      </w:r>
      <w:r w:rsidR="00A46A7E" w:rsidRPr="00C243EA">
        <w:rPr>
          <w:sz w:val="26"/>
        </w:rPr>
        <w:t>1</w:t>
      </w:r>
      <w:r w:rsidRPr="00C243EA">
        <w:rPr>
          <w:sz w:val="26"/>
        </w:rPr>
        <w:t xml:space="preserve"> год и плановый период </w:t>
      </w:r>
      <w:r w:rsidR="00A46A7E" w:rsidRPr="00C243EA">
        <w:rPr>
          <w:color w:val="000000" w:themeColor="text1"/>
          <w:sz w:val="26"/>
        </w:rPr>
        <w:t>2022</w:t>
      </w:r>
      <w:r w:rsidRPr="00C243EA">
        <w:rPr>
          <w:sz w:val="26"/>
        </w:rPr>
        <w:t xml:space="preserve"> </w:t>
      </w:r>
      <w:r w:rsidR="00A46A7E" w:rsidRPr="00C243EA">
        <w:rPr>
          <w:sz w:val="26"/>
        </w:rPr>
        <w:t xml:space="preserve">и 2023 годов </w:t>
      </w:r>
      <w:r w:rsidRPr="00C243EA">
        <w:rPr>
          <w:sz w:val="26"/>
        </w:rPr>
        <w:t xml:space="preserve">среднесписочная численность работников малых и средних предприятий, включая микропредприятия (без внешних совместителей) составляет 3,08 тыс. человек, численность занятых в экономике - 21,87 тыс. человек или </w:t>
      </w:r>
      <w:r w:rsidRPr="00C243EA">
        <w:rPr>
          <w:color w:val="000000" w:themeColor="text1"/>
          <w:sz w:val="26"/>
        </w:rPr>
        <w:t>55,</w:t>
      </w:r>
      <w:r w:rsidR="00207D0A" w:rsidRPr="00C243EA">
        <w:rPr>
          <w:color w:val="000000" w:themeColor="text1"/>
          <w:sz w:val="26"/>
        </w:rPr>
        <w:t>5</w:t>
      </w:r>
      <w:r w:rsidRPr="00C243EA">
        <w:rPr>
          <w:sz w:val="26"/>
        </w:rPr>
        <w:t>% от общей численности населения города.</w:t>
      </w:r>
    </w:p>
    <w:p w:rsidR="00D112AE" w:rsidRPr="00C243EA" w:rsidRDefault="00D112AE">
      <w:pPr>
        <w:ind w:firstLine="708"/>
        <w:jc w:val="both"/>
        <w:rPr>
          <w:sz w:val="26"/>
        </w:rPr>
      </w:pPr>
    </w:p>
    <w:p w:rsidR="00D112AE" w:rsidRPr="00C243EA" w:rsidRDefault="00622A26">
      <w:pPr>
        <w:keepNext/>
        <w:tabs>
          <w:tab w:val="left" w:pos="7020"/>
        </w:tabs>
        <w:jc w:val="center"/>
        <w:outlineLvl w:val="1"/>
        <w:rPr>
          <w:sz w:val="26"/>
        </w:rPr>
      </w:pPr>
      <w:bookmarkStart w:id="49" w:name="_Toc433108893"/>
      <w:bookmarkStart w:id="50" w:name="_Toc480793305"/>
      <w:bookmarkStart w:id="51" w:name="_Toc133723832"/>
      <w:bookmarkStart w:id="52" w:name="_Toc273967754"/>
      <w:bookmarkEnd w:id="47"/>
      <w:bookmarkEnd w:id="48"/>
      <w:r w:rsidRPr="00C243EA">
        <w:rPr>
          <w:sz w:val="26"/>
        </w:rPr>
        <w:t>Безработица</w:t>
      </w:r>
      <w:bookmarkEnd w:id="49"/>
      <w:bookmarkEnd w:id="50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Численность безработных граждан, зарегистрированных в органах государственной службы </w:t>
      </w:r>
      <w:r w:rsidR="00DF0329" w:rsidRPr="00C243EA">
        <w:rPr>
          <w:sz w:val="26"/>
        </w:rPr>
        <w:t>занятости, по состоянию на 01.01.2021</w:t>
      </w:r>
      <w:r w:rsidRPr="00C243EA">
        <w:rPr>
          <w:sz w:val="26"/>
        </w:rPr>
        <w:t xml:space="preserve"> составила </w:t>
      </w:r>
      <w:r w:rsidR="00DF0329" w:rsidRPr="00C243EA">
        <w:rPr>
          <w:sz w:val="26"/>
        </w:rPr>
        <w:t>57</w:t>
      </w:r>
      <w:r w:rsidR="00DF0329" w:rsidRPr="00C243EA">
        <w:rPr>
          <w:color w:val="000000" w:themeColor="text1"/>
          <w:sz w:val="26"/>
        </w:rPr>
        <w:t>2</w:t>
      </w:r>
      <w:r w:rsidRPr="00C243EA">
        <w:rPr>
          <w:sz w:val="26"/>
        </w:rPr>
        <w:t xml:space="preserve"> человек</w:t>
      </w:r>
      <w:r w:rsidR="00DF0329" w:rsidRPr="00C243EA">
        <w:rPr>
          <w:sz w:val="26"/>
        </w:rPr>
        <w:t>а</w:t>
      </w:r>
      <w:r w:rsidRPr="00C243EA">
        <w:rPr>
          <w:sz w:val="26"/>
        </w:rPr>
        <w:t xml:space="preserve"> (АППГ – 4</w:t>
      </w:r>
      <w:r w:rsidR="000A74D8" w:rsidRPr="00C243EA">
        <w:rPr>
          <w:sz w:val="26"/>
        </w:rPr>
        <w:t>8</w:t>
      </w:r>
      <w:r w:rsidRPr="00C243EA">
        <w:rPr>
          <w:sz w:val="26"/>
        </w:rPr>
        <w:t xml:space="preserve"> человек). Уровень регистрируемой безработицы составляет </w:t>
      </w:r>
      <w:r w:rsidRPr="00C243EA">
        <w:rPr>
          <w:sz w:val="26"/>
        </w:rPr>
        <w:lastRenderedPageBreak/>
        <w:t>2,</w:t>
      </w:r>
      <w:r w:rsidR="00DF0329" w:rsidRPr="00C243EA">
        <w:rPr>
          <w:sz w:val="26"/>
        </w:rPr>
        <w:t>38</w:t>
      </w:r>
      <w:r w:rsidRPr="00C243EA">
        <w:rPr>
          <w:sz w:val="26"/>
        </w:rPr>
        <w:t xml:space="preserve">% (АППГ – 0,19%), коэффициент напряженности – </w:t>
      </w:r>
      <w:r w:rsidR="00DF0329" w:rsidRPr="00C243EA">
        <w:rPr>
          <w:sz w:val="26"/>
        </w:rPr>
        <w:t>2,9</w:t>
      </w:r>
      <w:r w:rsidRPr="00C243EA">
        <w:rPr>
          <w:sz w:val="26"/>
        </w:rPr>
        <w:t xml:space="preserve"> человек на 1 вакантное рабочее место (АППГ – 0,</w:t>
      </w:r>
      <w:r w:rsidR="000A74D8" w:rsidRPr="00C243EA">
        <w:rPr>
          <w:sz w:val="26"/>
        </w:rPr>
        <w:t>28</w:t>
      </w:r>
      <w:r w:rsidRPr="00C243EA">
        <w:rPr>
          <w:sz w:val="26"/>
        </w:rPr>
        <w:t xml:space="preserve"> человека на 1 вакантное рабочее место). Снижение основных показателей регистрируемого рынка труда связано с ограничительными мерами, принятыми в связи с распространением коронавирусной инфекции.</w:t>
      </w:r>
    </w:p>
    <w:p w:rsidR="00D112AE" w:rsidRPr="00C243EA" w:rsidRDefault="00622A26">
      <w:pPr>
        <w:tabs>
          <w:tab w:val="left" w:pos="720"/>
        </w:tabs>
        <w:ind w:firstLine="709"/>
        <w:jc w:val="both"/>
        <w:rPr>
          <w:sz w:val="26"/>
        </w:rPr>
      </w:pPr>
      <w:r w:rsidRPr="00C243EA">
        <w:rPr>
          <w:sz w:val="26"/>
        </w:rPr>
        <w:t xml:space="preserve">На 1 </w:t>
      </w:r>
      <w:r w:rsidR="00DF0329" w:rsidRPr="00C243EA">
        <w:rPr>
          <w:sz w:val="26"/>
        </w:rPr>
        <w:t xml:space="preserve">января 2021 </w:t>
      </w:r>
      <w:r w:rsidRPr="00C243EA">
        <w:rPr>
          <w:sz w:val="26"/>
        </w:rPr>
        <w:t>года заявленная работодателями потребность в работниках составила 1</w:t>
      </w:r>
      <w:r w:rsidR="00DF0329" w:rsidRPr="00C243EA">
        <w:rPr>
          <w:sz w:val="26"/>
        </w:rPr>
        <w:t>97</w:t>
      </w:r>
      <w:r w:rsidRPr="00C243EA">
        <w:rPr>
          <w:sz w:val="26"/>
        </w:rPr>
        <w:t xml:space="preserve"> вакансий (АППГ – 17</w:t>
      </w:r>
      <w:r w:rsidR="000A74D8" w:rsidRPr="00C243EA">
        <w:rPr>
          <w:sz w:val="26"/>
        </w:rPr>
        <w:t>2</w:t>
      </w:r>
      <w:r w:rsidRPr="00C243EA">
        <w:rPr>
          <w:sz w:val="26"/>
        </w:rPr>
        <w:t xml:space="preserve"> ваканси</w:t>
      </w:r>
      <w:r w:rsidR="000A74D8" w:rsidRPr="00C243EA">
        <w:rPr>
          <w:sz w:val="26"/>
        </w:rPr>
        <w:t>и</w:t>
      </w:r>
      <w:r w:rsidRPr="00C243EA">
        <w:rPr>
          <w:sz w:val="26"/>
        </w:rPr>
        <w:t>).</w:t>
      </w:r>
    </w:p>
    <w:p w:rsidR="00D112AE" w:rsidRPr="00C243EA" w:rsidRDefault="00622A26">
      <w:pPr>
        <w:ind w:firstLine="709"/>
        <w:jc w:val="both"/>
        <w:rPr>
          <w:sz w:val="26"/>
        </w:rPr>
      </w:pPr>
      <w:r w:rsidRPr="00C243EA">
        <w:rPr>
          <w:sz w:val="26"/>
        </w:rPr>
        <w:t>В 2020 год</w:t>
      </w:r>
      <w:r w:rsidR="005133FD" w:rsidRPr="00C243EA">
        <w:rPr>
          <w:sz w:val="26"/>
        </w:rPr>
        <w:t>у</w:t>
      </w:r>
      <w:r w:rsidRPr="00C243EA">
        <w:rPr>
          <w:sz w:val="26"/>
        </w:rPr>
        <w:t xml:space="preserve"> за содействием в поиске подходящей работы в КУ «Пыть-Яхский центр занятости населения» обратилось </w:t>
      </w:r>
      <w:r w:rsidR="00AC4846" w:rsidRPr="00C243EA">
        <w:rPr>
          <w:sz w:val="26"/>
        </w:rPr>
        <w:t xml:space="preserve">1 </w:t>
      </w:r>
      <w:r w:rsidR="005133FD" w:rsidRPr="00C243EA">
        <w:rPr>
          <w:sz w:val="26"/>
        </w:rPr>
        <w:t>979</w:t>
      </w:r>
      <w:r w:rsidR="00AC4846" w:rsidRPr="00C243EA">
        <w:rPr>
          <w:sz w:val="26"/>
        </w:rPr>
        <w:t xml:space="preserve"> человек</w:t>
      </w:r>
      <w:r w:rsidRPr="00C243EA">
        <w:rPr>
          <w:sz w:val="26"/>
        </w:rPr>
        <w:t xml:space="preserve"> (АППГ – </w:t>
      </w:r>
      <w:r w:rsidR="00AC4846" w:rsidRPr="00C243EA">
        <w:rPr>
          <w:sz w:val="26"/>
        </w:rPr>
        <w:t>964</w:t>
      </w:r>
      <w:r w:rsidRPr="00C243EA">
        <w:rPr>
          <w:sz w:val="26"/>
        </w:rPr>
        <w:t xml:space="preserve"> человека). Нашли работу </w:t>
      </w:r>
      <w:r w:rsidR="005133FD" w:rsidRPr="00C243EA">
        <w:rPr>
          <w:sz w:val="26"/>
        </w:rPr>
        <w:t>521 чел.</w:t>
      </w:r>
      <w:r w:rsidRPr="00C243EA">
        <w:rPr>
          <w:sz w:val="26"/>
        </w:rPr>
        <w:t xml:space="preserve"> (постоянную работу – </w:t>
      </w:r>
      <w:r w:rsidR="005133FD" w:rsidRPr="00C243EA">
        <w:rPr>
          <w:sz w:val="26"/>
        </w:rPr>
        <w:t>265</w:t>
      </w:r>
      <w:r w:rsidRPr="00C243EA">
        <w:rPr>
          <w:sz w:val="26"/>
        </w:rPr>
        <w:t xml:space="preserve"> чел., временную – </w:t>
      </w:r>
      <w:r w:rsidR="00AC4846" w:rsidRPr="00C243EA">
        <w:rPr>
          <w:sz w:val="26"/>
        </w:rPr>
        <w:t>2</w:t>
      </w:r>
      <w:r w:rsidR="005133FD" w:rsidRPr="00C243EA">
        <w:rPr>
          <w:sz w:val="26"/>
        </w:rPr>
        <w:t>56</w:t>
      </w:r>
      <w:r w:rsidRPr="00C243EA">
        <w:rPr>
          <w:sz w:val="26"/>
        </w:rPr>
        <w:t xml:space="preserve"> чел.). (АППГ- </w:t>
      </w:r>
      <w:r w:rsidR="005133FD" w:rsidRPr="00C243EA">
        <w:rPr>
          <w:sz w:val="26"/>
        </w:rPr>
        <w:t>1129</w:t>
      </w:r>
      <w:r w:rsidRPr="00C243EA">
        <w:rPr>
          <w:sz w:val="26"/>
        </w:rPr>
        <w:t>/</w:t>
      </w:r>
      <w:r w:rsidR="005133FD" w:rsidRPr="00C243EA">
        <w:rPr>
          <w:sz w:val="26"/>
        </w:rPr>
        <w:t>85</w:t>
      </w:r>
      <w:r w:rsidRPr="00C243EA">
        <w:rPr>
          <w:sz w:val="26"/>
        </w:rPr>
        <w:t>/</w:t>
      </w:r>
      <w:r w:rsidR="005133FD" w:rsidRPr="00C243EA">
        <w:rPr>
          <w:sz w:val="26"/>
        </w:rPr>
        <w:t xml:space="preserve">523 </w:t>
      </w:r>
      <w:r w:rsidR="00AC4846" w:rsidRPr="00C243EA">
        <w:rPr>
          <w:sz w:val="26"/>
        </w:rPr>
        <w:t xml:space="preserve">человека </w:t>
      </w:r>
      <w:r w:rsidRPr="00C243EA">
        <w:rPr>
          <w:sz w:val="26"/>
        </w:rPr>
        <w:t xml:space="preserve">соответственно). </w:t>
      </w:r>
    </w:p>
    <w:p w:rsidR="00D112AE" w:rsidRPr="00C243EA" w:rsidRDefault="00622A26">
      <w:pPr>
        <w:ind w:firstLine="567"/>
        <w:jc w:val="both"/>
        <w:rPr>
          <w:sz w:val="26"/>
        </w:rPr>
      </w:pPr>
      <w:r w:rsidRPr="00C243EA">
        <w:rPr>
          <w:sz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5133FD" w:rsidRPr="00C243EA">
        <w:rPr>
          <w:sz w:val="26"/>
        </w:rPr>
        <w:t>624</w:t>
      </w:r>
      <w:r w:rsidRPr="00C243EA">
        <w:rPr>
          <w:sz w:val="26"/>
        </w:rPr>
        <w:t xml:space="preserve"> человека (АППГ – </w:t>
      </w:r>
      <w:r w:rsidR="005133FD" w:rsidRPr="00C243EA">
        <w:rPr>
          <w:sz w:val="26"/>
        </w:rPr>
        <w:t>886</w:t>
      </w:r>
      <w:r w:rsidRPr="00C243EA">
        <w:rPr>
          <w:sz w:val="26"/>
        </w:rPr>
        <w:t xml:space="preserve"> человек); по социальной адаптации на рынке труда и психологической п</w:t>
      </w:r>
      <w:r w:rsidR="00AC4846" w:rsidRPr="00C243EA">
        <w:rPr>
          <w:sz w:val="26"/>
        </w:rPr>
        <w:t xml:space="preserve">оддержки – </w:t>
      </w:r>
      <w:r w:rsidR="005133FD" w:rsidRPr="00C243EA">
        <w:rPr>
          <w:sz w:val="26"/>
        </w:rPr>
        <w:t>96</w:t>
      </w:r>
      <w:r w:rsidR="00AC4846" w:rsidRPr="00C243EA">
        <w:rPr>
          <w:sz w:val="26"/>
        </w:rPr>
        <w:t xml:space="preserve"> человек (АППГ – 4</w:t>
      </w:r>
      <w:r w:rsidR="005133FD" w:rsidRPr="00C243EA">
        <w:rPr>
          <w:sz w:val="26"/>
        </w:rPr>
        <w:t>6</w:t>
      </w:r>
      <w:r w:rsidRPr="00C243EA">
        <w:rPr>
          <w:sz w:val="26"/>
        </w:rPr>
        <w:t xml:space="preserve"> человек); профессионального обучения безработных граждан – </w:t>
      </w:r>
      <w:r w:rsidR="005133FD" w:rsidRPr="00C243EA">
        <w:rPr>
          <w:sz w:val="26"/>
        </w:rPr>
        <w:t>75</w:t>
      </w:r>
      <w:r w:rsidRPr="00C243EA">
        <w:rPr>
          <w:sz w:val="26"/>
        </w:rPr>
        <w:t xml:space="preserve"> чел</w:t>
      </w:r>
      <w:bookmarkEnd w:id="51"/>
      <w:bookmarkEnd w:id="52"/>
      <w:r w:rsidR="00AC4846" w:rsidRPr="00C243EA">
        <w:rPr>
          <w:sz w:val="26"/>
        </w:rPr>
        <w:t>овек</w:t>
      </w:r>
      <w:r w:rsidR="005133FD" w:rsidRPr="00C243EA">
        <w:rPr>
          <w:sz w:val="26"/>
        </w:rPr>
        <w:t xml:space="preserve"> (АППГ – 6</w:t>
      </w:r>
      <w:r w:rsidR="00AC4846" w:rsidRPr="00C243EA">
        <w:rPr>
          <w:sz w:val="26"/>
        </w:rPr>
        <w:t xml:space="preserve">5 </w:t>
      </w:r>
      <w:r w:rsidRPr="00C243EA">
        <w:rPr>
          <w:sz w:val="26"/>
        </w:rPr>
        <w:t>человек).</w:t>
      </w:r>
    </w:p>
    <w:p w:rsidR="00D112AE" w:rsidRPr="00C243EA" w:rsidRDefault="00622A26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  <w:r w:rsidRPr="00C243EA">
        <w:rPr>
          <w:rFonts w:ascii="Times New Roman" w:hAnsi="Times New Roman"/>
          <w:b w:val="0"/>
          <w:i w:val="0"/>
          <w:sz w:val="26"/>
        </w:rPr>
        <w:t>Образование</w:t>
      </w:r>
      <w:bookmarkEnd w:id="43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ind w:firstLine="708"/>
        <w:jc w:val="both"/>
        <w:rPr>
          <w:sz w:val="26"/>
        </w:rPr>
      </w:pPr>
      <w:bookmarkStart w:id="53" w:name="_Toc386102612"/>
      <w:r w:rsidRPr="00C243EA">
        <w:rPr>
          <w:sz w:val="26"/>
        </w:rPr>
        <w:t>Муниципальная система образования на территории города представлена 14 организациями, подведомственными Департаменту образования и молодежной политики, в том числе: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 xml:space="preserve">- </w:t>
      </w:r>
      <w:r w:rsidR="00EA1B3D" w:rsidRPr="00C243EA">
        <w:rPr>
          <w:sz w:val="26"/>
        </w:rPr>
        <w:t>6</w:t>
      </w:r>
      <w:r w:rsidRPr="00C243EA">
        <w:rPr>
          <w:sz w:val="26"/>
        </w:rPr>
        <w:t xml:space="preserve"> муниципальных дошкольных образовательных автономных учреждений;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 xml:space="preserve">- </w:t>
      </w:r>
      <w:r w:rsidR="00EA1B3D" w:rsidRPr="00C243EA">
        <w:rPr>
          <w:sz w:val="26"/>
        </w:rPr>
        <w:t>7</w:t>
      </w:r>
      <w:r w:rsidRPr="00C243EA">
        <w:rPr>
          <w:sz w:val="26"/>
        </w:rPr>
        <w:t xml:space="preserve"> средних общеобразовательных школ;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>- 1 учреждение дополнительного образования детей «Центр детского творчества».</w:t>
      </w:r>
    </w:p>
    <w:p w:rsidR="00D071F8" w:rsidRPr="00C243EA" w:rsidRDefault="00D071F8" w:rsidP="00D071F8">
      <w:pPr>
        <w:ind w:firstLine="708"/>
        <w:jc w:val="both"/>
        <w:rPr>
          <w:sz w:val="26"/>
        </w:rPr>
      </w:pPr>
      <w:r w:rsidRPr="00C243EA">
        <w:rPr>
          <w:sz w:val="26"/>
        </w:rPr>
        <w:t>Завершено строительство нового образовательного комплекса МАОУ Прогимназия «Созвездие»</w:t>
      </w:r>
      <w:r w:rsidR="00DD01AD">
        <w:rPr>
          <w:sz w:val="26"/>
        </w:rPr>
        <w:t>,</w:t>
      </w:r>
      <w:r w:rsidRPr="00C243EA">
        <w:rPr>
          <w:sz w:val="26"/>
        </w:rPr>
        <w:t xml:space="preserve"> расположенного в 1 мкр. «Центральный». В прогимназию набраны 12 начальных классов и 10 групп детского сада. Большое внимание уделено дополнительному образованию: есть современный компьютерный класс, 7 специализированных учебных кабинетов, спортивный, музыкальный и танцевальный залы, изостудия, шахматный класс, огромная библиотека с читальным залом.</w:t>
      </w:r>
    </w:p>
    <w:p w:rsidR="00C13C77" w:rsidRPr="00C243EA" w:rsidRDefault="00C13C77" w:rsidP="00D071F8">
      <w:pPr>
        <w:ind w:firstLine="708"/>
        <w:jc w:val="both"/>
        <w:rPr>
          <w:sz w:val="26"/>
        </w:rPr>
      </w:pPr>
      <w:r w:rsidRPr="00C243EA">
        <w:rPr>
          <w:sz w:val="26"/>
        </w:rPr>
        <w:t>Количество образовательных учреждений изменилось в связи с тем, что МДОУ Детский сад «Улыбка» вошел в состав образовательного комплекса МАОУ Прогимназия «Созвездие».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Кроме того, в сфере молодежной политики осуществляют свою деятельность 3 учреждения. </w:t>
      </w:r>
    </w:p>
    <w:p w:rsidR="00E455AF" w:rsidRPr="00C243EA" w:rsidRDefault="00622A26" w:rsidP="00D071F8">
      <w:pPr>
        <w:ind w:firstLine="708"/>
        <w:jc w:val="both"/>
        <w:rPr>
          <w:sz w:val="26"/>
        </w:rPr>
      </w:pPr>
      <w:r w:rsidRPr="00C243EA">
        <w:rPr>
          <w:sz w:val="26"/>
        </w:rPr>
        <w:t>Чи</w:t>
      </w:r>
      <w:r w:rsidR="00CA6667" w:rsidRPr="00C243EA">
        <w:rPr>
          <w:sz w:val="26"/>
        </w:rPr>
        <w:t>сло обучающихся в школах на 01.01</w:t>
      </w:r>
      <w:r w:rsidRPr="00C243EA">
        <w:rPr>
          <w:sz w:val="26"/>
        </w:rPr>
        <w:t>.202</w:t>
      </w:r>
      <w:r w:rsidR="00CA6667" w:rsidRPr="00C243EA">
        <w:rPr>
          <w:sz w:val="26"/>
        </w:rPr>
        <w:t>1</w:t>
      </w:r>
      <w:r w:rsidRPr="00C243EA">
        <w:rPr>
          <w:sz w:val="26"/>
        </w:rPr>
        <w:t>г. – 5 8</w:t>
      </w:r>
      <w:r w:rsidR="00CA6667" w:rsidRPr="00C243EA">
        <w:rPr>
          <w:sz w:val="26"/>
        </w:rPr>
        <w:t>15</w:t>
      </w:r>
      <w:r w:rsidRPr="00C243EA">
        <w:rPr>
          <w:sz w:val="26"/>
        </w:rPr>
        <w:t xml:space="preserve"> чел. (АППГ -  5 7</w:t>
      </w:r>
      <w:r w:rsidR="00CA6667" w:rsidRPr="00C243EA">
        <w:rPr>
          <w:sz w:val="26"/>
        </w:rPr>
        <w:t>28</w:t>
      </w:r>
      <w:r w:rsidRPr="00C243EA">
        <w:rPr>
          <w:sz w:val="26"/>
        </w:rPr>
        <w:t xml:space="preserve"> чел.). Число воспитанников в детских садах на 01.</w:t>
      </w:r>
      <w:r w:rsidR="00CA6667" w:rsidRPr="00C243EA">
        <w:rPr>
          <w:sz w:val="26"/>
        </w:rPr>
        <w:t>01</w:t>
      </w:r>
      <w:r w:rsidRPr="00C243EA">
        <w:rPr>
          <w:sz w:val="26"/>
        </w:rPr>
        <w:t>.202</w:t>
      </w:r>
      <w:r w:rsidR="00CA6667" w:rsidRPr="00C243EA">
        <w:rPr>
          <w:sz w:val="26"/>
        </w:rPr>
        <w:t>1</w:t>
      </w:r>
      <w:r w:rsidRPr="00C243EA">
        <w:rPr>
          <w:sz w:val="26"/>
        </w:rPr>
        <w:t xml:space="preserve">г. – 2 </w:t>
      </w:r>
      <w:r w:rsidR="00CA6667" w:rsidRPr="00C243EA">
        <w:rPr>
          <w:sz w:val="26"/>
        </w:rPr>
        <w:t>521</w:t>
      </w:r>
      <w:r w:rsidRPr="00C243EA">
        <w:rPr>
          <w:sz w:val="26"/>
        </w:rPr>
        <w:t xml:space="preserve"> чел. (АППГ – 2 </w:t>
      </w:r>
      <w:r w:rsidR="00CA6667" w:rsidRPr="00C243EA">
        <w:rPr>
          <w:sz w:val="26"/>
        </w:rPr>
        <w:t>728</w:t>
      </w:r>
      <w:r w:rsidRPr="00C243EA">
        <w:rPr>
          <w:sz w:val="26"/>
        </w:rPr>
        <w:t xml:space="preserve"> чел.), в МОАУ ДОД ЦДТ – 1 0</w:t>
      </w:r>
      <w:r w:rsidR="00CA6667" w:rsidRPr="00C243EA">
        <w:rPr>
          <w:sz w:val="26"/>
        </w:rPr>
        <w:t>26</w:t>
      </w:r>
      <w:r w:rsidRPr="00C243EA">
        <w:rPr>
          <w:sz w:val="26"/>
        </w:rPr>
        <w:t xml:space="preserve"> чел. (АППГ – 2</w:t>
      </w:r>
      <w:r w:rsidR="00CA6667" w:rsidRPr="00C243EA">
        <w:rPr>
          <w:sz w:val="26"/>
        </w:rPr>
        <w:t xml:space="preserve"> 971 </w:t>
      </w:r>
      <w:r w:rsidRPr="00C243EA">
        <w:rPr>
          <w:sz w:val="26"/>
        </w:rPr>
        <w:t xml:space="preserve">чел.)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Организована работа 7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 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Проведен мониторинг обучающихся из числа коренных малочисленных народов севера. В общеобразовательных организациях обучаются 18 человек, из них: 15 - ханты, 3 - манси. Дошкольные образовательные организации посещают 10 детей данной категории.</w:t>
      </w:r>
    </w:p>
    <w:p w:rsidR="00D112AE" w:rsidRPr="00C243EA" w:rsidRDefault="00622A26">
      <w:pPr>
        <w:ind w:firstLine="708"/>
        <w:jc w:val="both"/>
        <w:rPr>
          <w:sz w:val="26"/>
          <w:szCs w:val="26"/>
        </w:rPr>
      </w:pPr>
      <w:r w:rsidRPr="00C243EA">
        <w:rPr>
          <w:sz w:val="26"/>
          <w:szCs w:val="26"/>
        </w:rPr>
        <w:lastRenderedPageBreak/>
        <w:t>На 01.</w:t>
      </w:r>
      <w:r w:rsidR="00CA6667" w:rsidRPr="00C243EA">
        <w:rPr>
          <w:sz w:val="26"/>
          <w:szCs w:val="26"/>
        </w:rPr>
        <w:t>01.2021</w:t>
      </w:r>
      <w:r w:rsidRPr="00C243EA">
        <w:rPr>
          <w:sz w:val="26"/>
          <w:szCs w:val="26"/>
        </w:rPr>
        <w:t xml:space="preserve"> в образовательных организациях обучаются и воспитываются 33</w:t>
      </w:r>
      <w:r w:rsidR="0067141C" w:rsidRPr="00C243EA">
        <w:rPr>
          <w:sz w:val="26"/>
          <w:szCs w:val="26"/>
        </w:rPr>
        <w:t>4</w:t>
      </w:r>
      <w:r w:rsidRPr="00C243EA">
        <w:rPr>
          <w:sz w:val="26"/>
          <w:szCs w:val="26"/>
        </w:rPr>
        <w:t xml:space="preserve"> ребёнка с ограниченными во</w:t>
      </w:r>
      <w:r w:rsidR="0067141C" w:rsidRPr="00C243EA">
        <w:rPr>
          <w:sz w:val="26"/>
          <w:szCs w:val="26"/>
        </w:rPr>
        <w:t>зможностями здоровья, из них 110</w:t>
      </w:r>
      <w:r w:rsidRPr="00C243EA">
        <w:rPr>
          <w:sz w:val="26"/>
          <w:szCs w:val="26"/>
        </w:rPr>
        <w:t xml:space="preserve"> детей инвалидов, </w:t>
      </w:r>
      <w:r w:rsidR="0067141C" w:rsidRPr="00C243EA">
        <w:rPr>
          <w:sz w:val="26"/>
          <w:szCs w:val="26"/>
        </w:rPr>
        <w:t>224</w:t>
      </w:r>
      <w:r w:rsidRPr="00C243EA">
        <w:rPr>
          <w:sz w:val="26"/>
          <w:szCs w:val="26"/>
        </w:rPr>
        <w:t xml:space="preserve"> детей с ограниченными возможностями здоровья. Детские сады посещает </w:t>
      </w:r>
      <w:r w:rsidR="0067141C" w:rsidRPr="00C243EA">
        <w:rPr>
          <w:sz w:val="26"/>
          <w:szCs w:val="26"/>
        </w:rPr>
        <w:t>89</w:t>
      </w:r>
      <w:r w:rsidRPr="00C243EA">
        <w:rPr>
          <w:sz w:val="26"/>
          <w:szCs w:val="26"/>
        </w:rPr>
        <w:t xml:space="preserve"> воспитанник</w:t>
      </w:r>
      <w:r w:rsidR="00DD01AD">
        <w:rPr>
          <w:sz w:val="26"/>
          <w:szCs w:val="26"/>
        </w:rPr>
        <w:t>ов</w:t>
      </w:r>
      <w:r w:rsidRPr="00C243EA">
        <w:rPr>
          <w:sz w:val="26"/>
          <w:szCs w:val="26"/>
        </w:rPr>
        <w:t xml:space="preserve"> с ограниченными возможностями здоровья. </w:t>
      </w:r>
    </w:p>
    <w:p w:rsidR="00D112AE" w:rsidRPr="00C243EA" w:rsidRDefault="00622A26">
      <w:pPr>
        <w:ind w:firstLine="709"/>
        <w:jc w:val="both"/>
        <w:rPr>
          <w:sz w:val="26"/>
        </w:rPr>
      </w:pPr>
      <w:r w:rsidRPr="00C243EA">
        <w:rPr>
          <w:sz w:val="26"/>
        </w:rPr>
        <w:t xml:space="preserve">В 2019-2020 учебном году получили основное общее образование 508 человек, из них 30 выпускников получили аттестаты с отличием. </w:t>
      </w:r>
    </w:p>
    <w:p w:rsidR="00D112AE" w:rsidRPr="00C243EA" w:rsidRDefault="00622A26">
      <w:pPr>
        <w:ind w:firstLine="709"/>
        <w:jc w:val="both"/>
        <w:rPr>
          <w:sz w:val="26"/>
        </w:rPr>
      </w:pPr>
      <w:r w:rsidRPr="00C243EA">
        <w:rPr>
          <w:sz w:val="26"/>
        </w:rPr>
        <w:t>Среднее общее образование получили 266 человек, из них 21 выпускник получил аттестаты с отличием и медали «За особые успехи в обучении».</w:t>
      </w:r>
    </w:p>
    <w:p w:rsidR="003C333C" w:rsidRPr="00C243EA" w:rsidRDefault="003C333C">
      <w:pPr>
        <w:ind w:firstLine="709"/>
        <w:jc w:val="both"/>
        <w:rPr>
          <w:sz w:val="26"/>
        </w:rPr>
      </w:pPr>
      <w:r w:rsidRPr="00C243EA">
        <w:rPr>
          <w:sz w:val="26"/>
        </w:rPr>
        <w:t xml:space="preserve">Ученик МБОУ СОШ №6 и ученица МАОУ «КСОШ-ДС» стали победителями всероссийского конкурса «Большая перемена», за призовое место получен 1 000,0 </w:t>
      </w:r>
      <w:r w:rsidR="00DD01AD">
        <w:rPr>
          <w:sz w:val="26"/>
        </w:rPr>
        <w:t>тыс</w:t>
      </w:r>
      <w:r w:rsidRPr="00C243EA">
        <w:rPr>
          <w:sz w:val="26"/>
        </w:rPr>
        <w:t>.руб.</w:t>
      </w:r>
    </w:p>
    <w:p w:rsidR="003C333C" w:rsidRPr="00C243EA" w:rsidRDefault="003C333C" w:rsidP="003C333C">
      <w:pPr>
        <w:ind w:firstLine="709"/>
        <w:jc w:val="both"/>
        <w:rPr>
          <w:sz w:val="26"/>
        </w:rPr>
      </w:pPr>
      <w:r w:rsidRPr="00C243EA">
        <w:rPr>
          <w:sz w:val="26"/>
        </w:rPr>
        <w:t>Педагог-психолог МДОАУ ЦРР-д/с «Фантазия» стала победителем регионального этапа конкурса педагогического мастерства «Педагог-психолог – 2020».</w:t>
      </w:r>
    </w:p>
    <w:p w:rsidR="003C333C" w:rsidRPr="00C243EA" w:rsidRDefault="003C333C" w:rsidP="003C333C">
      <w:pPr>
        <w:ind w:firstLine="709"/>
        <w:jc w:val="both"/>
        <w:rPr>
          <w:sz w:val="26"/>
        </w:rPr>
      </w:pPr>
      <w:r w:rsidRPr="00C243EA">
        <w:rPr>
          <w:sz w:val="26"/>
        </w:rPr>
        <w:t>Третий год подряд обучающаяся МБОУ СОШ №5 занимает призовое место на региональном этапе всероссийской олимпиады школьников по технологии.</w:t>
      </w:r>
    </w:p>
    <w:p w:rsidR="003C333C" w:rsidRPr="00C243EA" w:rsidRDefault="003C333C" w:rsidP="003C333C">
      <w:pPr>
        <w:ind w:firstLine="709"/>
        <w:jc w:val="both"/>
        <w:rPr>
          <w:sz w:val="26"/>
        </w:rPr>
      </w:pPr>
      <w:r w:rsidRPr="00C243EA">
        <w:rPr>
          <w:sz w:val="26"/>
        </w:rPr>
        <w:t>Обучающаяся МБОУ СОШ №1 стала победителем регионального этапа Всероссийского конкурса сочинений.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D112AE" w:rsidRPr="00C243EA" w:rsidRDefault="00622A26">
      <w:pPr>
        <w:numPr>
          <w:ilvl w:val="0"/>
          <w:numId w:val="1"/>
        </w:numPr>
        <w:tabs>
          <w:tab w:val="clear" w:pos="710"/>
          <w:tab w:val="left" w:pos="0"/>
        </w:tabs>
        <w:ind w:left="0"/>
        <w:jc w:val="both"/>
        <w:rPr>
          <w:sz w:val="26"/>
        </w:rPr>
      </w:pPr>
      <w:r w:rsidRPr="00C243EA">
        <w:rPr>
          <w:sz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D112AE" w:rsidRPr="00C243EA" w:rsidRDefault="00622A26">
      <w:pPr>
        <w:numPr>
          <w:ilvl w:val="0"/>
          <w:numId w:val="1"/>
        </w:numPr>
        <w:tabs>
          <w:tab w:val="clear" w:pos="710"/>
          <w:tab w:val="left" w:pos="0"/>
        </w:tabs>
        <w:ind w:left="0"/>
        <w:jc w:val="both"/>
        <w:rPr>
          <w:sz w:val="26"/>
        </w:rPr>
      </w:pPr>
      <w:r w:rsidRPr="00C243EA">
        <w:rPr>
          <w:sz w:val="26"/>
        </w:rPr>
        <w:t>развитие материально-технической базы и школьной инфраструктуры;</w:t>
      </w:r>
    </w:p>
    <w:p w:rsidR="00D112AE" w:rsidRPr="00C243EA" w:rsidRDefault="00622A26">
      <w:pPr>
        <w:numPr>
          <w:ilvl w:val="0"/>
          <w:numId w:val="1"/>
        </w:numPr>
        <w:tabs>
          <w:tab w:val="clear" w:pos="710"/>
          <w:tab w:val="left" w:pos="0"/>
        </w:tabs>
        <w:ind w:left="0"/>
        <w:jc w:val="both"/>
        <w:rPr>
          <w:sz w:val="26"/>
        </w:rPr>
      </w:pPr>
      <w:r w:rsidRPr="00C243EA">
        <w:rPr>
          <w:sz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D112AE" w:rsidRPr="00C243EA" w:rsidRDefault="00622A26">
      <w:pPr>
        <w:numPr>
          <w:ilvl w:val="0"/>
          <w:numId w:val="1"/>
        </w:numPr>
        <w:tabs>
          <w:tab w:val="clear" w:pos="710"/>
          <w:tab w:val="left" w:pos="0"/>
        </w:tabs>
        <w:ind w:left="0"/>
        <w:jc w:val="both"/>
        <w:rPr>
          <w:sz w:val="26"/>
        </w:rPr>
      </w:pPr>
      <w:r w:rsidRPr="00C243EA">
        <w:rPr>
          <w:sz w:val="26"/>
        </w:rPr>
        <w:t>обеспечение поэтапного введения федеральных государственных образовательных стандартов;</w:t>
      </w:r>
    </w:p>
    <w:p w:rsidR="00D112AE" w:rsidRPr="00C243EA" w:rsidRDefault="00622A26">
      <w:pPr>
        <w:numPr>
          <w:ilvl w:val="0"/>
          <w:numId w:val="1"/>
        </w:numPr>
        <w:tabs>
          <w:tab w:val="clear" w:pos="710"/>
          <w:tab w:val="left" w:pos="0"/>
        </w:tabs>
        <w:ind w:left="0"/>
        <w:jc w:val="both"/>
        <w:rPr>
          <w:sz w:val="26"/>
        </w:rPr>
      </w:pPr>
      <w:r w:rsidRPr="00C243EA">
        <w:rPr>
          <w:sz w:val="26"/>
        </w:rPr>
        <w:t>развитие инклюзивного образования;</w:t>
      </w:r>
    </w:p>
    <w:p w:rsidR="00D112AE" w:rsidRPr="00C243EA" w:rsidRDefault="00622A26">
      <w:pPr>
        <w:numPr>
          <w:ilvl w:val="0"/>
          <w:numId w:val="1"/>
        </w:numPr>
        <w:tabs>
          <w:tab w:val="clear" w:pos="710"/>
          <w:tab w:val="left" w:pos="0"/>
        </w:tabs>
        <w:ind w:left="0"/>
        <w:jc w:val="both"/>
        <w:rPr>
          <w:sz w:val="26"/>
        </w:rPr>
      </w:pPr>
      <w:r w:rsidRPr="00C243EA">
        <w:rPr>
          <w:sz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Основные показатели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пропаганда здорового образа жизни: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- проведено </w:t>
      </w:r>
      <w:r w:rsidR="007E3F28" w:rsidRPr="00C243EA">
        <w:rPr>
          <w:sz w:val="26"/>
        </w:rPr>
        <w:t>217</w:t>
      </w:r>
      <w:r w:rsidRPr="00C243EA">
        <w:rPr>
          <w:sz w:val="26"/>
        </w:rPr>
        <w:t xml:space="preserve"> профилактических мероприяти</w:t>
      </w:r>
      <w:r w:rsidR="007E3F28" w:rsidRPr="00C243EA">
        <w:rPr>
          <w:sz w:val="26"/>
        </w:rPr>
        <w:t>й</w:t>
      </w:r>
      <w:r w:rsidRPr="00C243EA">
        <w:rPr>
          <w:sz w:val="26"/>
        </w:rPr>
        <w:t xml:space="preserve">, охват – </w:t>
      </w:r>
      <w:r w:rsidR="00D13F91" w:rsidRPr="00C243EA">
        <w:rPr>
          <w:sz w:val="26"/>
        </w:rPr>
        <w:t xml:space="preserve">15 718 </w:t>
      </w:r>
      <w:r w:rsidRPr="00C243EA">
        <w:rPr>
          <w:sz w:val="26"/>
        </w:rPr>
        <w:t xml:space="preserve">чел., в том числе </w:t>
      </w:r>
      <w:r w:rsidR="00D13F91" w:rsidRPr="00C243EA">
        <w:rPr>
          <w:sz w:val="26"/>
        </w:rPr>
        <w:t>180</w:t>
      </w:r>
      <w:r w:rsidRPr="00C243EA">
        <w:rPr>
          <w:sz w:val="26"/>
        </w:rPr>
        <w:t xml:space="preserve"> в режиме онлайн, охват – </w:t>
      </w:r>
      <w:r w:rsidR="00D13F91" w:rsidRPr="00C243EA">
        <w:rPr>
          <w:sz w:val="26"/>
        </w:rPr>
        <w:t>15 200</w:t>
      </w:r>
      <w:r w:rsidRPr="00C243EA">
        <w:rPr>
          <w:sz w:val="26"/>
        </w:rPr>
        <w:t xml:space="preserve"> чел. (АППГ - 209 мероприятий, охват – 9159 чел.);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- в дворовых клубах проведено 5</w:t>
      </w:r>
      <w:r w:rsidR="007E3F28" w:rsidRPr="00C243EA">
        <w:rPr>
          <w:sz w:val="26"/>
        </w:rPr>
        <w:t>95</w:t>
      </w:r>
      <w:r w:rsidRPr="00C243EA">
        <w:rPr>
          <w:sz w:val="26"/>
        </w:rPr>
        <w:t xml:space="preserve"> мероприятий, охват </w:t>
      </w:r>
      <w:r w:rsidR="00D13F91" w:rsidRPr="00C243EA">
        <w:rPr>
          <w:sz w:val="26"/>
        </w:rPr>
        <w:t>16 480</w:t>
      </w:r>
      <w:r w:rsidRPr="00C243EA">
        <w:rPr>
          <w:sz w:val="26"/>
        </w:rPr>
        <w:t xml:space="preserve"> чел., в т.ч. </w:t>
      </w:r>
      <w:r w:rsidR="00D13F91" w:rsidRPr="00C243EA">
        <w:rPr>
          <w:sz w:val="26"/>
        </w:rPr>
        <w:t>152</w:t>
      </w:r>
      <w:r w:rsidRPr="00C243EA">
        <w:rPr>
          <w:sz w:val="26"/>
        </w:rPr>
        <w:t xml:space="preserve"> мероприяти</w:t>
      </w:r>
      <w:r w:rsidR="00D13F91" w:rsidRPr="00C243EA">
        <w:rPr>
          <w:sz w:val="26"/>
        </w:rPr>
        <w:t>я</w:t>
      </w:r>
      <w:r w:rsidRPr="00C243EA">
        <w:rPr>
          <w:sz w:val="26"/>
        </w:rPr>
        <w:t xml:space="preserve"> в режиме онлайн, охват – </w:t>
      </w:r>
      <w:r w:rsidR="00D13F91" w:rsidRPr="00C243EA">
        <w:rPr>
          <w:sz w:val="26"/>
        </w:rPr>
        <w:t>11 823</w:t>
      </w:r>
      <w:r w:rsidRPr="00C243EA">
        <w:rPr>
          <w:sz w:val="26"/>
        </w:rPr>
        <w:t xml:space="preserve"> чел. (АППГ – 1 4</w:t>
      </w:r>
      <w:r w:rsidR="00D13F91" w:rsidRPr="00C243EA">
        <w:rPr>
          <w:sz w:val="26"/>
        </w:rPr>
        <w:t>50</w:t>
      </w:r>
      <w:r w:rsidRPr="00C243EA">
        <w:rPr>
          <w:sz w:val="26"/>
        </w:rPr>
        <w:t xml:space="preserve"> мероприятий, охват – </w:t>
      </w:r>
      <w:r w:rsidR="00D13F91" w:rsidRPr="00C243EA">
        <w:rPr>
          <w:sz w:val="26"/>
        </w:rPr>
        <w:t>20 064</w:t>
      </w:r>
      <w:r w:rsidRPr="00C243EA">
        <w:rPr>
          <w:sz w:val="26"/>
        </w:rPr>
        <w:t xml:space="preserve"> чел.);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- проведено </w:t>
      </w:r>
      <w:r w:rsidR="007E3F28" w:rsidRPr="00C243EA">
        <w:rPr>
          <w:sz w:val="26"/>
        </w:rPr>
        <w:t xml:space="preserve">338 </w:t>
      </w:r>
      <w:r w:rsidRPr="00C243EA">
        <w:rPr>
          <w:sz w:val="26"/>
        </w:rPr>
        <w:t>консультаци</w:t>
      </w:r>
      <w:r w:rsidR="007E3F28" w:rsidRPr="00C243EA">
        <w:rPr>
          <w:sz w:val="26"/>
        </w:rPr>
        <w:t>й</w:t>
      </w:r>
      <w:r w:rsidRPr="00C243EA">
        <w:rPr>
          <w:sz w:val="26"/>
        </w:rPr>
        <w:t xml:space="preserve"> по оказанию психологической помощи по «Телефону доверия» (АППГ – </w:t>
      </w:r>
      <w:r w:rsidR="007E3F28" w:rsidRPr="00C243EA">
        <w:rPr>
          <w:sz w:val="26"/>
        </w:rPr>
        <w:t>561</w:t>
      </w:r>
      <w:r w:rsidRPr="00C243EA">
        <w:rPr>
          <w:sz w:val="26"/>
        </w:rPr>
        <w:t xml:space="preserve"> консультаци</w:t>
      </w:r>
      <w:r w:rsidR="007E3F28" w:rsidRPr="00C243EA">
        <w:rPr>
          <w:sz w:val="26"/>
        </w:rPr>
        <w:t>я</w:t>
      </w:r>
      <w:r w:rsidRPr="00C243EA">
        <w:rPr>
          <w:sz w:val="26"/>
        </w:rPr>
        <w:t>);</w:t>
      </w:r>
    </w:p>
    <w:p w:rsidR="00D112AE" w:rsidRPr="00C243EA" w:rsidRDefault="00622A26">
      <w:pPr>
        <w:numPr>
          <w:ilvl w:val="0"/>
          <w:numId w:val="8"/>
        </w:numPr>
        <w:tabs>
          <w:tab w:val="clear" w:pos="2137"/>
          <w:tab w:val="left" w:pos="993"/>
        </w:tabs>
        <w:ind w:left="0" w:firstLine="709"/>
        <w:jc w:val="both"/>
        <w:rPr>
          <w:sz w:val="26"/>
        </w:rPr>
      </w:pPr>
      <w:r w:rsidRPr="00C243EA">
        <w:rPr>
          <w:sz w:val="26"/>
        </w:rPr>
        <w:t xml:space="preserve">на базе центра «Жемчужина» работает 1 центр «Витязь», </w:t>
      </w:r>
      <w:r w:rsidR="007E3F28" w:rsidRPr="00C243EA">
        <w:rPr>
          <w:sz w:val="26"/>
        </w:rPr>
        <w:t>82</w:t>
      </w:r>
      <w:r w:rsidRPr="00C243EA">
        <w:rPr>
          <w:sz w:val="26"/>
        </w:rPr>
        <w:t xml:space="preserve"> воспитанника, (АППГ </w:t>
      </w:r>
      <w:r w:rsidR="007E3F28" w:rsidRPr="00C243EA">
        <w:rPr>
          <w:sz w:val="26"/>
        </w:rPr>
        <w:t>–</w:t>
      </w:r>
      <w:r w:rsidRPr="00C243EA">
        <w:rPr>
          <w:sz w:val="26"/>
        </w:rPr>
        <w:t xml:space="preserve"> </w:t>
      </w:r>
      <w:r w:rsidR="007E3F28" w:rsidRPr="00C243EA">
        <w:rPr>
          <w:sz w:val="26"/>
        </w:rPr>
        <w:t xml:space="preserve">86 </w:t>
      </w:r>
      <w:r w:rsidRPr="00C243EA">
        <w:rPr>
          <w:sz w:val="26"/>
        </w:rPr>
        <w:t>воспитанник</w:t>
      </w:r>
      <w:r w:rsidR="007E3F28" w:rsidRPr="00C243EA">
        <w:rPr>
          <w:sz w:val="26"/>
        </w:rPr>
        <w:t>ов</w:t>
      </w:r>
      <w:r w:rsidRPr="00C243EA">
        <w:rPr>
          <w:sz w:val="26"/>
        </w:rPr>
        <w:t>), проведено 18 мероприятий, в т.ч. 6 мероприяти</w:t>
      </w:r>
      <w:r w:rsidR="00DD01AD">
        <w:rPr>
          <w:sz w:val="26"/>
        </w:rPr>
        <w:t>й</w:t>
      </w:r>
      <w:r w:rsidRPr="00C243EA">
        <w:rPr>
          <w:sz w:val="26"/>
        </w:rPr>
        <w:t xml:space="preserve"> в режиме онлайн с охватом 408 человек;</w:t>
      </w:r>
    </w:p>
    <w:p w:rsidR="00D112AE" w:rsidRPr="00C243EA" w:rsidRDefault="00622A26">
      <w:pPr>
        <w:numPr>
          <w:ilvl w:val="0"/>
          <w:numId w:val="8"/>
        </w:numPr>
        <w:tabs>
          <w:tab w:val="clear" w:pos="2137"/>
          <w:tab w:val="left" w:pos="709"/>
          <w:tab w:val="left" w:pos="993"/>
        </w:tabs>
        <w:ind w:left="0" w:firstLine="708"/>
        <w:jc w:val="both"/>
        <w:rPr>
          <w:sz w:val="26"/>
        </w:rPr>
      </w:pPr>
      <w:r w:rsidRPr="00C243EA">
        <w:rPr>
          <w:sz w:val="26"/>
        </w:rPr>
        <w:lastRenderedPageBreak/>
        <w:t xml:space="preserve">горнолыжную базу посетили 5 </w:t>
      </w:r>
      <w:r w:rsidR="007E3F28" w:rsidRPr="00C243EA">
        <w:rPr>
          <w:sz w:val="26"/>
        </w:rPr>
        <w:t>958</w:t>
      </w:r>
      <w:r w:rsidRPr="00C243EA">
        <w:rPr>
          <w:sz w:val="26"/>
        </w:rPr>
        <w:t xml:space="preserve"> чел. (АППГ – </w:t>
      </w:r>
      <w:r w:rsidR="007E3F28" w:rsidRPr="00C243EA">
        <w:rPr>
          <w:sz w:val="26"/>
        </w:rPr>
        <w:t>12 654</w:t>
      </w:r>
      <w:r w:rsidRPr="00C243EA">
        <w:rPr>
          <w:sz w:val="26"/>
        </w:rPr>
        <w:t xml:space="preserve"> чел.), во втором квартале 2020 года посещение горнолыжной базы приостановлено в связи с режимом самоизоляции;</w:t>
      </w:r>
    </w:p>
    <w:p w:rsidR="00D112AE" w:rsidRPr="00C243EA" w:rsidRDefault="00622A26">
      <w:pPr>
        <w:numPr>
          <w:ilvl w:val="0"/>
          <w:numId w:val="8"/>
        </w:numPr>
        <w:tabs>
          <w:tab w:val="clear" w:pos="2137"/>
          <w:tab w:val="left" w:pos="720"/>
          <w:tab w:val="left" w:pos="851"/>
        </w:tabs>
        <w:ind w:left="0" w:firstLine="708"/>
        <w:jc w:val="both"/>
        <w:rPr>
          <w:sz w:val="26"/>
        </w:rPr>
      </w:pPr>
      <w:r w:rsidRPr="00C243EA">
        <w:rPr>
          <w:sz w:val="26"/>
        </w:rPr>
        <w:t xml:space="preserve"> услугами бассейна и тренажерного зала воспользовались 10 777 чел. (АППГ –</w:t>
      </w:r>
      <w:r w:rsidR="007E3F28" w:rsidRPr="00C243EA">
        <w:rPr>
          <w:sz w:val="26"/>
        </w:rPr>
        <w:t>39 592</w:t>
      </w:r>
      <w:r w:rsidRPr="00C243EA">
        <w:rPr>
          <w:sz w:val="26"/>
        </w:rPr>
        <w:t xml:space="preserve"> чел.), во втором квартале 2020 года посещение бассейна приостановлено в связи с режимом самоизоляции.</w:t>
      </w:r>
    </w:p>
    <w:p w:rsidR="003C333C" w:rsidRPr="00C243EA" w:rsidRDefault="00622A26" w:rsidP="00C73FDD">
      <w:pPr>
        <w:ind w:firstLine="708"/>
        <w:jc w:val="both"/>
        <w:rPr>
          <w:sz w:val="26"/>
        </w:rPr>
      </w:pPr>
      <w:r w:rsidRPr="00C243EA">
        <w:rPr>
          <w:sz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Пыть-Яха в соответствии с распоряжением администрации города от 22.09.2016 № 2153-ра (с изм. от </w:t>
      </w:r>
      <w:r w:rsidR="00A46A7E" w:rsidRPr="00C243EA">
        <w:rPr>
          <w:sz w:val="26"/>
        </w:rPr>
        <w:t>30.07.2020 №1378</w:t>
      </w:r>
      <w:r w:rsidRPr="00C243EA">
        <w:rPr>
          <w:sz w:val="26"/>
        </w:rPr>
        <w:t>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Пыть-Ях на 2016-2020 годы».</w:t>
      </w:r>
    </w:p>
    <w:p w:rsidR="00D112AE" w:rsidRPr="00C243EA" w:rsidRDefault="00622A26">
      <w:pPr>
        <w:widowControl w:val="0"/>
        <w:tabs>
          <w:tab w:val="left" w:pos="0"/>
        </w:tabs>
        <w:spacing w:before="6"/>
        <w:ind w:right="170" w:firstLine="709"/>
        <w:jc w:val="both"/>
        <w:rPr>
          <w:sz w:val="26"/>
        </w:rPr>
      </w:pPr>
      <w:r w:rsidRPr="00C243EA">
        <w:rPr>
          <w:sz w:val="26"/>
        </w:rPr>
        <w:t>Предусмотрена субсидия размере 4,</w:t>
      </w:r>
      <w:r w:rsidR="00FD7F4E" w:rsidRPr="00C243EA">
        <w:rPr>
          <w:sz w:val="26"/>
        </w:rPr>
        <w:t>7</w:t>
      </w:r>
      <w:r w:rsidRPr="00C243EA">
        <w:rPr>
          <w:sz w:val="26"/>
        </w:rPr>
        <w:t xml:space="preserve"> млн. руб.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D112AE" w:rsidRPr="00C243EA" w:rsidRDefault="00622A26">
      <w:pPr>
        <w:widowControl w:val="0"/>
        <w:tabs>
          <w:tab w:val="left" w:pos="0"/>
        </w:tabs>
        <w:spacing w:before="6"/>
        <w:ind w:right="170" w:firstLine="709"/>
        <w:jc w:val="both"/>
        <w:rPr>
          <w:sz w:val="26"/>
        </w:rPr>
      </w:pPr>
      <w:r w:rsidRPr="00C243EA">
        <w:rPr>
          <w:sz w:val="26"/>
        </w:rPr>
        <w:t>- развитие и координация движения КВН;</w:t>
      </w:r>
    </w:p>
    <w:p w:rsidR="00D112AE" w:rsidRPr="00C243EA" w:rsidRDefault="00622A26">
      <w:pPr>
        <w:widowControl w:val="0"/>
        <w:tabs>
          <w:tab w:val="left" w:pos="0"/>
        </w:tabs>
        <w:spacing w:before="6"/>
        <w:ind w:right="170" w:firstLine="709"/>
        <w:jc w:val="both"/>
        <w:rPr>
          <w:sz w:val="26"/>
        </w:rPr>
      </w:pPr>
      <w:r w:rsidRPr="00C243EA">
        <w:rPr>
          <w:sz w:val="26"/>
        </w:rPr>
        <w:t>- проведение образовательных, культурных мероприятий;</w:t>
      </w:r>
    </w:p>
    <w:p w:rsidR="00D112AE" w:rsidRPr="00C243EA" w:rsidRDefault="00622A26">
      <w:pPr>
        <w:widowControl w:val="0"/>
        <w:tabs>
          <w:tab w:val="left" w:pos="0"/>
        </w:tabs>
        <w:spacing w:before="6"/>
        <w:ind w:right="170" w:firstLine="709"/>
        <w:jc w:val="both"/>
        <w:rPr>
          <w:sz w:val="26"/>
        </w:rPr>
      </w:pPr>
      <w:r w:rsidRPr="00C243EA">
        <w:rPr>
          <w:sz w:val="26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D112AE" w:rsidRPr="00C243EA" w:rsidRDefault="00622A26">
      <w:pPr>
        <w:widowControl w:val="0"/>
        <w:tabs>
          <w:tab w:val="left" w:pos="0"/>
        </w:tabs>
        <w:spacing w:before="6"/>
        <w:ind w:right="170" w:firstLine="709"/>
        <w:jc w:val="both"/>
        <w:rPr>
          <w:sz w:val="26"/>
        </w:rPr>
      </w:pPr>
      <w:r w:rsidRPr="00C243EA">
        <w:rPr>
          <w:sz w:val="26"/>
        </w:rPr>
        <w:t>- вовлечение молодежи в добровольческую деятельность;</w:t>
      </w:r>
    </w:p>
    <w:p w:rsidR="00D112AE" w:rsidRPr="00C243EA" w:rsidRDefault="00622A26">
      <w:pPr>
        <w:widowControl w:val="0"/>
        <w:tabs>
          <w:tab w:val="left" w:pos="0"/>
        </w:tabs>
        <w:spacing w:before="6"/>
        <w:ind w:right="170" w:firstLine="709"/>
        <w:jc w:val="both"/>
        <w:rPr>
          <w:sz w:val="26"/>
        </w:rPr>
      </w:pPr>
      <w:r w:rsidRPr="00C243EA">
        <w:rPr>
          <w:sz w:val="26"/>
        </w:rPr>
        <w:t>- создание условий для развития творческого потенциала молодежи и реализации молодежных инициатив;</w:t>
      </w:r>
    </w:p>
    <w:p w:rsidR="00D112AE" w:rsidRPr="00C243EA" w:rsidRDefault="00622A26">
      <w:pPr>
        <w:widowControl w:val="0"/>
        <w:tabs>
          <w:tab w:val="left" w:pos="0"/>
        </w:tabs>
        <w:spacing w:before="6"/>
        <w:ind w:right="170" w:firstLine="709"/>
        <w:jc w:val="both"/>
        <w:rPr>
          <w:sz w:val="26"/>
        </w:rPr>
      </w:pPr>
      <w:r w:rsidRPr="00C243EA">
        <w:rPr>
          <w:sz w:val="26"/>
        </w:rPr>
        <w:t>- укрепление престижа и роли семьи в обществе.</w:t>
      </w:r>
    </w:p>
    <w:p w:rsidR="00D112AE" w:rsidRPr="00C243EA" w:rsidRDefault="00622A26">
      <w:pPr>
        <w:pStyle w:val="a3"/>
        <w:tabs>
          <w:tab w:val="left" w:pos="0"/>
        </w:tabs>
        <w:ind w:right="-1"/>
        <w:rPr>
          <w:sz w:val="26"/>
        </w:rPr>
      </w:pPr>
      <w:r w:rsidRPr="00C243EA">
        <w:rPr>
          <w:sz w:val="26"/>
        </w:rPr>
        <w:tab/>
      </w:r>
      <w:r w:rsidR="00915C39" w:rsidRPr="00C243EA">
        <w:rPr>
          <w:sz w:val="26"/>
        </w:rPr>
        <w:t>По состоянию на 01.01</w:t>
      </w:r>
      <w:r w:rsidRPr="00C243EA">
        <w:rPr>
          <w:sz w:val="26"/>
        </w:rPr>
        <w:t>.202</w:t>
      </w:r>
      <w:r w:rsidR="00915C39" w:rsidRPr="00C243EA">
        <w:rPr>
          <w:sz w:val="26"/>
        </w:rPr>
        <w:t>1</w:t>
      </w:r>
      <w:r w:rsidRPr="00C243EA">
        <w:rPr>
          <w:sz w:val="26"/>
        </w:rPr>
        <w:t xml:space="preserve"> года субсидия освоена в </w:t>
      </w:r>
      <w:r w:rsidR="00FD7F4E" w:rsidRPr="00C243EA">
        <w:rPr>
          <w:sz w:val="26"/>
        </w:rPr>
        <w:t>полном объеме.</w:t>
      </w:r>
      <w:r w:rsidRPr="00C243EA">
        <w:rPr>
          <w:sz w:val="26"/>
        </w:rPr>
        <w:t xml:space="preserve"> </w:t>
      </w:r>
      <w:bookmarkStart w:id="54" w:name="_Toc528078031"/>
    </w:p>
    <w:p w:rsidR="00D112AE" w:rsidRPr="00C243EA" w:rsidRDefault="00D112AE">
      <w:pPr>
        <w:pStyle w:val="a3"/>
        <w:tabs>
          <w:tab w:val="left" w:pos="0"/>
        </w:tabs>
        <w:ind w:right="-1"/>
        <w:rPr>
          <w:sz w:val="26"/>
        </w:rPr>
      </w:pPr>
    </w:p>
    <w:p w:rsidR="00D112AE" w:rsidRPr="00C243EA" w:rsidRDefault="00622A26">
      <w:pPr>
        <w:pStyle w:val="a3"/>
        <w:tabs>
          <w:tab w:val="left" w:pos="0"/>
        </w:tabs>
        <w:ind w:right="-1"/>
        <w:jc w:val="center"/>
        <w:rPr>
          <w:sz w:val="26"/>
        </w:rPr>
      </w:pPr>
      <w:r w:rsidRPr="00C243EA">
        <w:rPr>
          <w:sz w:val="26"/>
        </w:rPr>
        <w:t>Здравоохранение</w:t>
      </w:r>
      <w:bookmarkEnd w:id="53"/>
      <w:bookmarkEnd w:id="54"/>
    </w:p>
    <w:p w:rsidR="00D112AE" w:rsidRPr="00C243EA" w:rsidRDefault="00D112AE">
      <w:pPr>
        <w:contextualSpacing/>
        <w:rPr>
          <w:sz w:val="26"/>
        </w:rPr>
      </w:pPr>
    </w:p>
    <w:p w:rsidR="00D112AE" w:rsidRPr="00C243EA" w:rsidRDefault="00622A26">
      <w:pPr>
        <w:keepNext/>
        <w:widowControl w:val="0"/>
        <w:ind w:firstLine="709"/>
        <w:contextualSpacing/>
        <w:jc w:val="both"/>
        <w:rPr>
          <w:sz w:val="26"/>
        </w:rPr>
      </w:pPr>
      <w:r w:rsidRPr="00C243EA">
        <w:rPr>
          <w:sz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D112AE" w:rsidRPr="00C243EA" w:rsidRDefault="004F7A2C">
      <w:pPr>
        <w:ind w:firstLine="709"/>
        <w:contextualSpacing/>
        <w:jc w:val="both"/>
        <w:rPr>
          <w:sz w:val="26"/>
        </w:rPr>
      </w:pPr>
      <w:r w:rsidRPr="00C243EA">
        <w:rPr>
          <w:sz w:val="26"/>
        </w:rPr>
        <w:t>По состоянию на 01.01</w:t>
      </w:r>
      <w:r w:rsidR="00622A26" w:rsidRPr="00C243EA">
        <w:rPr>
          <w:sz w:val="26"/>
        </w:rPr>
        <w:t>.202</w:t>
      </w:r>
      <w:r w:rsidRPr="00C243EA">
        <w:rPr>
          <w:sz w:val="26"/>
        </w:rPr>
        <w:t>1</w:t>
      </w:r>
      <w:r w:rsidR="00622A26" w:rsidRPr="00C243EA">
        <w:rPr>
          <w:sz w:val="26"/>
        </w:rPr>
        <w:t xml:space="preserve"> года система здравоохранения представлена учреждениями:</w:t>
      </w:r>
    </w:p>
    <w:p w:rsidR="00D112AE" w:rsidRPr="00C243EA" w:rsidRDefault="00622A26">
      <w:pPr>
        <w:numPr>
          <w:ilvl w:val="0"/>
          <w:numId w:val="5"/>
        </w:numPr>
        <w:ind w:hanging="567"/>
        <w:contextualSpacing/>
        <w:jc w:val="both"/>
        <w:rPr>
          <w:sz w:val="26"/>
        </w:rPr>
      </w:pPr>
      <w:r w:rsidRPr="00C243EA">
        <w:rPr>
          <w:sz w:val="26"/>
        </w:rPr>
        <w:t>БУ ХМАО-Югры «Пыть-Яхская окружная клиническая больница» (</w:t>
      </w:r>
      <w:r w:rsidR="00DD01AD">
        <w:rPr>
          <w:sz w:val="26"/>
        </w:rPr>
        <w:t>236</w:t>
      </w:r>
      <w:r w:rsidRPr="00C243EA">
        <w:rPr>
          <w:sz w:val="26"/>
        </w:rPr>
        <w:t xml:space="preserve"> коек; 728 посещений в смену);</w:t>
      </w:r>
    </w:p>
    <w:p w:rsidR="00D112AE" w:rsidRPr="00C243EA" w:rsidRDefault="00622A26">
      <w:pPr>
        <w:numPr>
          <w:ilvl w:val="0"/>
          <w:numId w:val="5"/>
        </w:numPr>
        <w:ind w:hanging="567"/>
        <w:contextualSpacing/>
        <w:jc w:val="both"/>
        <w:rPr>
          <w:sz w:val="26"/>
        </w:rPr>
      </w:pPr>
      <w:r w:rsidRPr="00C243EA">
        <w:rPr>
          <w:sz w:val="26"/>
        </w:rPr>
        <w:t>АУ «Пыть-Яхская городская стоматологическая поликлиника» (150 посещений в смену).</w:t>
      </w:r>
    </w:p>
    <w:p w:rsidR="00D112AE" w:rsidRPr="00C243EA" w:rsidRDefault="00622A26">
      <w:pPr>
        <w:pStyle w:val="30"/>
        <w:ind w:right="21" w:firstLine="567"/>
        <w:contextualSpacing/>
        <w:rPr>
          <w:sz w:val="26"/>
        </w:rPr>
      </w:pPr>
      <w:r w:rsidRPr="00C243EA">
        <w:rPr>
          <w:sz w:val="26"/>
        </w:rPr>
        <w:t>БУ ХМАО-Югры «Пыть-Яхская окружная клиническая больница» за 2020 год выполнено:</w:t>
      </w:r>
    </w:p>
    <w:p w:rsidR="00D112AE" w:rsidRPr="00C243EA" w:rsidRDefault="00622A26">
      <w:pPr>
        <w:pStyle w:val="30"/>
        <w:ind w:right="21"/>
        <w:contextualSpacing/>
        <w:rPr>
          <w:sz w:val="26"/>
        </w:rPr>
      </w:pPr>
      <w:r w:rsidRPr="00C243EA">
        <w:rPr>
          <w:sz w:val="26"/>
        </w:rPr>
        <w:t xml:space="preserve">- </w:t>
      </w:r>
      <w:r w:rsidR="000545D1" w:rsidRPr="00C243EA">
        <w:rPr>
          <w:sz w:val="26"/>
        </w:rPr>
        <w:t>2 040</w:t>
      </w:r>
      <w:r w:rsidRPr="00C243EA">
        <w:rPr>
          <w:sz w:val="26"/>
        </w:rPr>
        <w:t xml:space="preserve"> пролеченных больных в дневном стационаре (2019 г.</w:t>
      </w:r>
      <w:r w:rsidR="000545D1" w:rsidRPr="00C243EA">
        <w:rPr>
          <w:sz w:val="26"/>
        </w:rPr>
        <w:t xml:space="preserve"> – 2774 чел.</w:t>
      </w:r>
      <w:r w:rsidRPr="00C243EA">
        <w:rPr>
          <w:sz w:val="26"/>
        </w:rPr>
        <w:t xml:space="preserve">); </w:t>
      </w:r>
    </w:p>
    <w:p w:rsidR="00D112AE" w:rsidRPr="00C243EA" w:rsidRDefault="00622A26">
      <w:pPr>
        <w:pStyle w:val="30"/>
        <w:ind w:right="21"/>
        <w:contextualSpacing/>
        <w:rPr>
          <w:sz w:val="26"/>
        </w:rPr>
      </w:pPr>
      <w:r w:rsidRPr="00C243EA">
        <w:rPr>
          <w:sz w:val="26"/>
        </w:rPr>
        <w:t xml:space="preserve">- </w:t>
      </w:r>
      <w:r w:rsidR="000545D1" w:rsidRPr="00C243EA">
        <w:rPr>
          <w:sz w:val="26"/>
        </w:rPr>
        <w:t xml:space="preserve">22 521 </w:t>
      </w:r>
      <w:r w:rsidRPr="00C243EA">
        <w:rPr>
          <w:sz w:val="26"/>
        </w:rPr>
        <w:t>человек охвачен профилактическим осмотром (2019 г.</w:t>
      </w:r>
      <w:r w:rsidR="000545D1" w:rsidRPr="00C243EA">
        <w:rPr>
          <w:sz w:val="26"/>
        </w:rPr>
        <w:t xml:space="preserve"> – 26 571 чел.</w:t>
      </w:r>
      <w:r w:rsidRPr="00C243EA">
        <w:rPr>
          <w:sz w:val="26"/>
        </w:rPr>
        <w:t xml:space="preserve">); </w:t>
      </w:r>
    </w:p>
    <w:p w:rsidR="00D112AE" w:rsidRPr="00C243EA" w:rsidRDefault="00622A26">
      <w:pPr>
        <w:pStyle w:val="30"/>
        <w:ind w:right="21"/>
        <w:contextualSpacing/>
        <w:rPr>
          <w:sz w:val="26"/>
        </w:rPr>
      </w:pPr>
      <w:r w:rsidRPr="00C243EA">
        <w:rPr>
          <w:sz w:val="26"/>
        </w:rPr>
        <w:t xml:space="preserve">- </w:t>
      </w:r>
      <w:r w:rsidR="000545D1" w:rsidRPr="00C243EA">
        <w:rPr>
          <w:sz w:val="26"/>
        </w:rPr>
        <w:t>7 614</w:t>
      </w:r>
      <w:r w:rsidRPr="00C243EA">
        <w:rPr>
          <w:sz w:val="26"/>
        </w:rPr>
        <w:t xml:space="preserve"> больных пролечено в круглосуточном стационаре (2019 г.</w:t>
      </w:r>
      <w:r w:rsidR="000545D1" w:rsidRPr="00C243EA">
        <w:rPr>
          <w:sz w:val="26"/>
        </w:rPr>
        <w:t xml:space="preserve"> – 8665 чел.</w:t>
      </w:r>
      <w:r w:rsidRPr="00C243EA">
        <w:rPr>
          <w:sz w:val="26"/>
        </w:rPr>
        <w:t xml:space="preserve">); </w:t>
      </w:r>
    </w:p>
    <w:p w:rsidR="00D112AE" w:rsidRPr="00C243EA" w:rsidRDefault="00622A26">
      <w:pPr>
        <w:pStyle w:val="30"/>
        <w:ind w:right="21"/>
        <w:contextualSpacing/>
        <w:rPr>
          <w:sz w:val="26"/>
        </w:rPr>
      </w:pPr>
      <w:r w:rsidRPr="00C243EA">
        <w:rPr>
          <w:sz w:val="26"/>
        </w:rPr>
        <w:t xml:space="preserve">- </w:t>
      </w:r>
      <w:r w:rsidR="000545D1" w:rsidRPr="00C243EA">
        <w:rPr>
          <w:sz w:val="26"/>
        </w:rPr>
        <w:t>15 450</w:t>
      </w:r>
      <w:r w:rsidRPr="00C243EA">
        <w:rPr>
          <w:sz w:val="26"/>
        </w:rPr>
        <w:t xml:space="preserve"> выездов скорой медицинской помощи (2019 г.</w:t>
      </w:r>
      <w:r w:rsidR="000545D1" w:rsidRPr="00C243EA">
        <w:rPr>
          <w:sz w:val="26"/>
        </w:rPr>
        <w:t>-14 651 ед.</w:t>
      </w:r>
      <w:r w:rsidRPr="00C243EA">
        <w:rPr>
          <w:sz w:val="26"/>
        </w:rPr>
        <w:t>).</w:t>
      </w:r>
    </w:p>
    <w:p w:rsidR="00D112AE" w:rsidRPr="00C243EA" w:rsidRDefault="00622A26">
      <w:pPr>
        <w:ind w:firstLine="708"/>
        <w:contextualSpacing/>
        <w:jc w:val="both"/>
        <w:rPr>
          <w:sz w:val="26"/>
        </w:rPr>
      </w:pPr>
      <w:r w:rsidRPr="00C243EA">
        <w:rPr>
          <w:sz w:val="26"/>
        </w:rPr>
        <w:lastRenderedPageBreak/>
        <w:t>Численность работников учреждения составляет 1 1</w:t>
      </w:r>
      <w:r w:rsidR="000545D1" w:rsidRPr="00C243EA">
        <w:rPr>
          <w:sz w:val="26"/>
        </w:rPr>
        <w:t>17</w:t>
      </w:r>
      <w:r w:rsidRPr="00C243EA">
        <w:rPr>
          <w:sz w:val="26"/>
        </w:rPr>
        <w:t xml:space="preserve"> чел. По сравнению с 2019 год</w:t>
      </w:r>
      <w:r w:rsidR="000545D1" w:rsidRPr="00C243EA">
        <w:rPr>
          <w:sz w:val="26"/>
        </w:rPr>
        <w:t>ом</w:t>
      </w:r>
      <w:r w:rsidRPr="00C243EA">
        <w:rPr>
          <w:sz w:val="26"/>
        </w:rPr>
        <w:t xml:space="preserve"> общая численность работников уменьшилась на </w:t>
      </w:r>
      <w:r w:rsidR="00782E03" w:rsidRPr="00C243EA">
        <w:rPr>
          <w:sz w:val="26"/>
        </w:rPr>
        <w:t>33</w:t>
      </w:r>
      <w:r w:rsidRPr="00C243EA">
        <w:rPr>
          <w:sz w:val="26"/>
        </w:rPr>
        <w:t xml:space="preserve"> человек</w:t>
      </w:r>
      <w:r w:rsidR="00782E03" w:rsidRPr="00C243EA">
        <w:rPr>
          <w:sz w:val="26"/>
        </w:rPr>
        <w:t>а</w:t>
      </w:r>
      <w:r w:rsidRPr="00C243EA">
        <w:rPr>
          <w:sz w:val="26"/>
        </w:rPr>
        <w:t xml:space="preserve">. </w:t>
      </w:r>
    </w:p>
    <w:p w:rsidR="00D112AE" w:rsidRPr="00C243EA" w:rsidRDefault="00622A26">
      <w:pPr>
        <w:pStyle w:val="30"/>
        <w:ind w:right="21" w:firstLine="708"/>
        <w:contextualSpacing/>
        <w:rPr>
          <w:sz w:val="26"/>
        </w:rPr>
      </w:pPr>
      <w:r w:rsidRPr="00C243EA">
        <w:rPr>
          <w:sz w:val="26"/>
        </w:rPr>
        <w:t>АУ «Пыть-Яхская городская стоматологическая поликлиника» оказывает медицинские стоматологические услуги взрослому населению и детям: терапевтические, хирургические, ортопедические, ортодонтия. За 2020 г</w:t>
      </w:r>
      <w:r w:rsidR="00D8026E" w:rsidRPr="00C243EA">
        <w:rPr>
          <w:sz w:val="26"/>
        </w:rPr>
        <w:t>од</w:t>
      </w:r>
      <w:r w:rsidRPr="00C243EA">
        <w:rPr>
          <w:sz w:val="26"/>
        </w:rPr>
        <w:t xml:space="preserve"> выполнено </w:t>
      </w:r>
      <w:r w:rsidR="00D8026E" w:rsidRPr="00C243EA">
        <w:rPr>
          <w:sz w:val="26"/>
        </w:rPr>
        <w:t>8 185</w:t>
      </w:r>
      <w:r w:rsidRPr="00C243EA">
        <w:rPr>
          <w:sz w:val="26"/>
        </w:rPr>
        <w:t xml:space="preserve"> амбулаторно-поликлинических посещени</w:t>
      </w:r>
      <w:r w:rsidR="00D8026E" w:rsidRPr="00C243EA">
        <w:rPr>
          <w:sz w:val="26"/>
        </w:rPr>
        <w:t>й</w:t>
      </w:r>
      <w:r w:rsidRPr="00C243EA">
        <w:rPr>
          <w:sz w:val="26"/>
        </w:rPr>
        <w:t xml:space="preserve"> с профилактической целью (АППГ– </w:t>
      </w:r>
      <w:r w:rsidR="00D8026E" w:rsidRPr="00C243EA">
        <w:rPr>
          <w:sz w:val="26"/>
        </w:rPr>
        <w:t>9 773</w:t>
      </w:r>
      <w:r w:rsidRPr="00C243EA">
        <w:rPr>
          <w:sz w:val="26"/>
        </w:rPr>
        <w:t xml:space="preserve">). По неотложной медицинской помощи обслужено </w:t>
      </w:r>
      <w:r w:rsidR="00D8026E" w:rsidRPr="00C243EA">
        <w:rPr>
          <w:sz w:val="26"/>
        </w:rPr>
        <w:t>633</w:t>
      </w:r>
      <w:r w:rsidRPr="00C243EA">
        <w:rPr>
          <w:sz w:val="26"/>
        </w:rPr>
        <w:t xml:space="preserve"> человек</w:t>
      </w:r>
      <w:r w:rsidR="00D8026E" w:rsidRPr="00C243EA">
        <w:rPr>
          <w:sz w:val="26"/>
        </w:rPr>
        <w:t>а</w:t>
      </w:r>
      <w:r w:rsidRPr="00C243EA">
        <w:rPr>
          <w:sz w:val="26"/>
        </w:rPr>
        <w:t xml:space="preserve"> (АППГ – </w:t>
      </w:r>
      <w:r w:rsidR="00782E03" w:rsidRPr="00C243EA">
        <w:rPr>
          <w:sz w:val="26"/>
        </w:rPr>
        <w:t>5</w:t>
      </w:r>
      <w:r w:rsidR="00D8026E" w:rsidRPr="00C243EA">
        <w:rPr>
          <w:sz w:val="26"/>
        </w:rPr>
        <w:t>97</w:t>
      </w:r>
      <w:r w:rsidRPr="00C243EA">
        <w:rPr>
          <w:sz w:val="26"/>
        </w:rPr>
        <w:t xml:space="preserve"> чел.). По заболеванию обратилось </w:t>
      </w:r>
      <w:r w:rsidR="00782E03" w:rsidRPr="00C243EA">
        <w:rPr>
          <w:sz w:val="26"/>
        </w:rPr>
        <w:t xml:space="preserve">6 </w:t>
      </w:r>
      <w:r w:rsidR="00D8026E" w:rsidRPr="00C243EA">
        <w:rPr>
          <w:sz w:val="26"/>
        </w:rPr>
        <w:t>518 человек</w:t>
      </w:r>
      <w:r w:rsidRPr="00C243EA">
        <w:rPr>
          <w:sz w:val="26"/>
        </w:rPr>
        <w:t xml:space="preserve"> (АППГ – </w:t>
      </w:r>
      <w:r w:rsidR="00D8026E" w:rsidRPr="00C243EA">
        <w:rPr>
          <w:sz w:val="26"/>
        </w:rPr>
        <w:t>9 647</w:t>
      </w:r>
      <w:r w:rsidRPr="00C243EA">
        <w:rPr>
          <w:sz w:val="26"/>
        </w:rPr>
        <w:t xml:space="preserve"> чел.). Численность работников учреждения со</w:t>
      </w:r>
      <w:r w:rsidR="00782E03" w:rsidRPr="00C243EA">
        <w:rPr>
          <w:sz w:val="26"/>
        </w:rPr>
        <w:t>ставляет 8</w:t>
      </w:r>
      <w:r w:rsidR="00D8026E" w:rsidRPr="00C243EA">
        <w:rPr>
          <w:sz w:val="26"/>
        </w:rPr>
        <w:t>5</w:t>
      </w:r>
      <w:r w:rsidR="00782E03" w:rsidRPr="00C243EA">
        <w:rPr>
          <w:sz w:val="26"/>
        </w:rPr>
        <w:t xml:space="preserve"> чел., в том числе 1</w:t>
      </w:r>
      <w:r w:rsidR="00D8026E" w:rsidRPr="00C243EA">
        <w:rPr>
          <w:sz w:val="26"/>
        </w:rPr>
        <w:t>8</w:t>
      </w:r>
      <w:r w:rsidRPr="00C243EA">
        <w:rPr>
          <w:sz w:val="26"/>
        </w:rPr>
        <w:t xml:space="preserve"> врачей, 3</w:t>
      </w:r>
      <w:r w:rsidR="00D8026E" w:rsidRPr="00C243EA">
        <w:rPr>
          <w:sz w:val="26"/>
        </w:rPr>
        <w:t>8</w:t>
      </w:r>
      <w:r w:rsidRPr="00C243EA">
        <w:rPr>
          <w:sz w:val="26"/>
        </w:rPr>
        <w:t xml:space="preserve"> человек – средний медицинский персонал. </w:t>
      </w:r>
    </w:p>
    <w:p w:rsidR="00D112AE" w:rsidRPr="00C243EA" w:rsidRDefault="00622A26">
      <w:pPr>
        <w:ind w:firstLine="709"/>
        <w:contextualSpacing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 xml:space="preserve">Медицинская помощь населению города Пыть-Яха также предоставляется в </w:t>
      </w:r>
      <w:r w:rsidR="001626BB" w:rsidRPr="00C243EA">
        <w:rPr>
          <w:color w:val="000000" w:themeColor="text1"/>
          <w:sz w:val="26"/>
        </w:rPr>
        <w:t>9</w:t>
      </w:r>
      <w:r w:rsidRPr="00C243EA">
        <w:rPr>
          <w:color w:val="000000" w:themeColor="text1"/>
          <w:sz w:val="26"/>
        </w:rPr>
        <w:t xml:space="preserve"> негосударственных медицинских организациях: ООО «Стоматология для Вас», ООО «Алина»,</w:t>
      </w:r>
      <w:r w:rsidR="001626BB" w:rsidRPr="00C243EA">
        <w:rPr>
          <w:color w:val="000000" w:themeColor="text1"/>
          <w:sz w:val="26"/>
        </w:rPr>
        <w:t xml:space="preserve"> ООО «Медиастом», </w:t>
      </w:r>
      <w:r w:rsidRPr="00C243EA">
        <w:rPr>
          <w:color w:val="000000" w:themeColor="text1"/>
          <w:sz w:val="26"/>
        </w:rPr>
        <w:t xml:space="preserve"> ООО «Доктор», ООО «Улыбка», ООО «Витамин +», ООО «Медико-диагностический центр 7 Я», ООО «Взгляд» и ИП Сосыкин Дмитрий Александрович.</w:t>
      </w:r>
    </w:p>
    <w:p w:rsidR="00D112AE" w:rsidRPr="00C243EA" w:rsidRDefault="00622A26">
      <w:pPr>
        <w:ind w:firstLine="709"/>
        <w:contextualSpacing/>
        <w:jc w:val="both"/>
        <w:rPr>
          <w:color w:val="000000" w:themeColor="text1"/>
          <w:sz w:val="26"/>
        </w:rPr>
      </w:pPr>
      <w:r w:rsidRPr="00C243EA">
        <w:rPr>
          <w:color w:val="000000" w:themeColor="text1"/>
          <w:sz w:val="26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D112AE" w:rsidRPr="00C243EA" w:rsidRDefault="00D112AE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</w:p>
    <w:p w:rsidR="00D112AE" w:rsidRPr="00C243EA" w:rsidRDefault="00622A26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  <w:bookmarkStart w:id="55" w:name="_Toc386102614"/>
      <w:bookmarkStart w:id="56" w:name="_Toc528078032"/>
      <w:r w:rsidRPr="00C243EA">
        <w:rPr>
          <w:rFonts w:ascii="Times New Roman" w:hAnsi="Times New Roman"/>
          <w:b w:val="0"/>
          <w:i w:val="0"/>
          <w:sz w:val="26"/>
        </w:rPr>
        <w:t>Культура и искусство</w:t>
      </w:r>
      <w:bookmarkEnd w:id="55"/>
      <w:bookmarkEnd w:id="56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keepNext/>
        <w:widowControl w:val="0"/>
        <w:ind w:firstLine="720"/>
        <w:jc w:val="both"/>
        <w:rPr>
          <w:sz w:val="26"/>
        </w:rPr>
      </w:pPr>
      <w:bookmarkStart w:id="57" w:name="_Toc386102617"/>
      <w:bookmarkStart w:id="58" w:name="_Toc409623629"/>
      <w:bookmarkEnd w:id="57"/>
      <w:r w:rsidRPr="00C243EA">
        <w:rPr>
          <w:sz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D112AE" w:rsidRPr="00C243EA" w:rsidRDefault="00D13F91">
      <w:pPr>
        <w:ind w:firstLine="708"/>
        <w:jc w:val="both"/>
        <w:rPr>
          <w:sz w:val="26"/>
        </w:rPr>
      </w:pPr>
      <w:r w:rsidRPr="00C243EA">
        <w:rPr>
          <w:sz w:val="26"/>
        </w:rPr>
        <w:t>По состоянию на 1 января</w:t>
      </w:r>
      <w:r w:rsidR="00622A26" w:rsidRPr="00C243EA">
        <w:rPr>
          <w:sz w:val="26"/>
        </w:rPr>
        <w:t xml:space="preserve"> 202</w:t>
      </w:r>
      <w:r w:rsidRPr="00C243EA">
        <w:rPr>
          <w:sz w:val="26"/>
        </w:rPr>
        <w:t>1</w:t>
      </w:r>
      <w:r w:rsidR="00622A26" w:rsidRPr="00C243EA">
        <w:rPr>
          <w:sz w:val="26"/>
        </w:rPr>
        <w:t xml:space="preserve"> года в городе Пыть-Ях осуществляют деятельность 3 учреждения культуры и искусства. Обеспеченность города учреждениями библиотечной системы составляет 100% от норматива (3 филиала), детскими школами искусств – 59,4% (12% от численности детей в возрасте 6,5 - 15 лет). 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ab/>
        <w:t xml:space="preserve">Основные показатели деятельности учреждений за </w:t>
      </w:r>
      <w:r w:rsidR="0067141C" w:rsidRPr="00C243EA">
        <w:rPr>
          <w:sz w:val="26"/>
        </w:rPr>
        <w:t>2020 год</w:t>
      </w:r>
      <w:r w:rsidRPr="00C243EA">
        <w:rPr>
          <w:sz w:val="26"/>
        </w:rPr>
        <w:t>: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>- МАУК «КДЦ» - проведено 3</w:t>
      </w:r>
      <w:r w:rsidR="0067141C" w:rsidRPr="00C243EA">
        <w:rPr>
          <w:sz w:val="26"/>
        </w:rPr>
        <w:t>84</w:t>
      </w:r>
      <w:r w:rsidRPr="00C243EA">
        <w:rPr>
          <w:sz w:val="26"/>
        </w:rPr>
        <w:t xml:space="preserve"> мероприяти</w:t>
      </w:r>
      <w:r w:rsidR="0067141C" w:rsidRPr="00C243EA">
        <w:rPr>
          <w:sz w:val="26"/>
        </w:rPr>
        <w:t>я</w:t>
      </w:r>
      <w:r w:rsidRPr="00C243EA">
        <w:rPr>
          <w:sz w:val="26"/>
        </w:rPr>
        <w:t xml:space="preserve">, общий охват населения </w:t>
      </w:r>
      <w:r w:rsidR="0067141C" w:rsidRPr="00C243EA">
        <w:rPr>
          <w:sz w:val="26"/>
        </w:rPr>
        <w:t>149 858</w:t>
      </w:r>
      <w:r w:rsidRPr="00C243EA">
        <w:rPr>
          <w:sz w:val="26"/>
        </w:rPr>
        <w:t xml:space="preserve"> чел. (АППГ – </w:t>
      </w:r>
      <w:r w:rsidR="0067141C" w:rsidRPr="00C243EA">
        <w:rPr>
          <w:sz w:val="26"/>
        </w:rPr>
        <w:t>383</w:t>
      </w:r>
      <w:r w:rsidRPr="00C243EA">
        <w:rPr>
          <w:sz w:val="26"/>
        </w:rPr>
        <w:t xml:space="preserve"> ед., охват – </w:t>
      </w:r>
      <w:r w:rsidR="0067141C" w:rsidRPr="00C243EA">
        <w:rPr>
          <w:sz w:val="26"/>
        </w:rPr>
        <w:t>93 650</w:t>
      </w:r>
      <w:r w:rsidRPr="00C243EA">
        <w:rPr>
          <w:sz w:val="26"/>
        </w:rPr>
        <w:t xml:space="preserve"> чел.); 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>- МАУК «Культурный центр: библиотека-музей» - проведено 1</w:t>
      </w:r>
      <w:r w:rsidR="00177D99" w:rsidRPr="00C243EA">
        <w:rPr>
          <w:sz w:val="26"/>
        </w:rPr>
        <w:t>44</w:t>
      </w:r>
      <w:r w:rsidRPr="00C243EA">
        <w:rPr>
          <w:sz w:val="26"/>
        </w:rPr>
        <w:t xml:space="preserve"> мероприяти</w:t>
      </w:r>
      <w:r w:rsidR="00177D99" w:rsidRPr="00C243EA">
        <w:rPr>
          <w:sz w:val="26"/>
        </w:rPr>
        <w:t>я</w:t>
      </w:r>
      <w:r w:rsidRPr="00C243EA">
        <w:rPr>
          <w:sz w:val="26"/>
        </w:rPr>
        <w:t xml:space="preserve"> (АППГ– 5</w:t>
      </w:r>
      <w:r w:rsidR="0067141C" w:rsidRPr="00C243EA">
        <w:rPr>
          <w:sz w:val="26"/>
        </w:rPr>
        <w:t>96</w:t>
      </w:r>
      <w:r w:rsidRPr="00C243EA">
        <w:rPr>
          <w:sz w:val="26"/>
        </w:rPr>
        <w:t xml:space="preserve"> мероприятий); </w:t>
      </w:r>
      <w:r w:rsidR="00177D99" w:rsidRPr="00C243EA">
        <w:rPr>
          <w:sz w:val="26"/>
        </w:rPr>
        <w:t>10 221</w:t>
      </w:r>
      <w:r w:rsidRPr="00C243EA">
        <w:rPr>
          <w:sz w:val="26"/>
        </w:rPr>
        <w:t xml:space="preserve"> читатель (АППГ – </w:t>
      </w:r>
      <w:r w:rsidR="0067141C" w:rsidRPr="00C243EA">
        <w:rPr>
          <w:sz w:val="26"/>
        </w:rPr>
        <w:t>15 333</w:t>
      </w:r>
      <w:r w:rsidRPr="00C243EA">
        <w:rPr>
          <w:sz w:val="26"/>
        </w:rPr>
        <w:t xml:space="preserve"> читател</w:t>
      </w:r>
      <w:r w:rsidR="0067141C" w:rsidRPr="00C243EA">
        <w:rPr>
          <w:sz w:val="26"/>
        </w:rPr>
        <w:t>я</w:t>
      </w:r>
      <w:r w:rsidRPr="00C243EA">
        <w:rPr>
          <w:sz w:val="26"/>
        </w:rPr>
        <w:t xml:space="preserve">); книговыдача – </w:t>
      </w:r>
      <w:r w:rsidR="0067141C" w:rsidRPr="00C243EA">
        <w:rPr>
          <w:sz w:val="26"/>
        </w:rPr>
        <w:t>188 162</w:t>
      </w:r>
      <w:r w:rsidRPr="00C243EA">
        <w:rPr>
          <w:sz w:val="26"/>
        </w:rPr>
        <w:t xml:space="preserve"> ед. (АППГ – </w:t>
      </w:r>
      <w:r w:rsidR="0067141C" w:rsidRPr="00C243EA">
        <w:rPr>
          <w:sz w:val="26"/>
        </w:rPr>
        <w:t>421 884</w:t>
      </w:r>
      <w:r w:rsidRPr="00C243EA">
        <w:rPr>
          <w:sz w:val="26"/>
        </w:rPr>
        <w:t xml:space="preserve"> ед.); «Краеведческий экомузей» - проведено </w:t>
      </w:r>
      <w:r w:rsidR="00177D99" w:rsidRPr="00C243EA">
        <w:rPr>
          <w:sz w:val="26"/>
        </w:rPr>
        <w:t>350</w:t>
      </w:r>
      <w:r w:rsidRPr="00C243EA">
        <w:rPr>
          <w:sz w:val="26"/>
        </w:rPr>
        <w:t xml:space="preserve"> мероприятий, </w:t>
      </w:r>
      <w:r w:rsidR="00255B91" w:rsidRPr="00C243EA">
        <w:rPr>
          <w:sz w:val="26"/>
        </w:rPr>
        <w:t>7 140</w:t>
      </w:r>
      <w:r w:rsidRPr="00C243EA">
        <w:rPr>
          <w:sz w:val="26"/>
        </w:rPr>
        <w:t xml:space="preserve"> участник</w:t>
      </w:r>
      <w:r w:rsidR="00255B91" w:rsidRPr="00C243EA">
        <w:rPr>
          <w:sz w:val="26"/>
        </w:rPr>
        <w:t>ов</w:t>
      </w:r>
      <w:r w:rsidRPr="00C243EA">
        <w:rPr>
          <w:sz w:val="26"/>
        </w:rPr>
        <w:t xml:space="preserve"> (АППГ – </w:t>
      </w:r>
      <w:r w:rsidR="0067141C" w:rsidRPr="00C243EA">
        <w:rPr>
          <w:sz w:val="26"/>
        </w:rPr>
        <w:t>795</w:t>
      </w:r>
      <w:r w:rsidRPr="00C243EA">
        <w:rPr>
          <w:sz w:val="26"/>
        </w:rPr>
        <w:t xml:space="preserve"> ед., </w:t>
      </w:r>
      <w:r w:rsidR="0067141C" w:rsidRPr="00C243EA">
        <w:rPr>
          <w:sz w:val="26"/>
        </w:rPr>
        <w:t>11 500</w:t>
      </w:r>
      <w:r w:rsidRPr="00C243EA">
        <w:rPr>
          <w:sz w:val="26"/>
        </w:rPr>
        <w:t xml:space="preserve"> чел.);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 xml:space="preserve">- МОУ ДОД «Детская школа искусств» - обучаются </w:t>
      </w:r>
      <w:r w:rsidR="00177D99" w:rsidRPr="00C243EA">
        <w:rPr>
          <w:sz w:val="26"/>
        </w:rPr>
        <w:t>914</w:t>
      </w:r>
      <w:r w:rsidRPr="00C243EA">
        <w:rPr>
          <w:sz w:val="26"/>
        </w:rPr>
        <w:t xml:space="preserve"> </w:t>
      </w:r>
      <w:r w:rsidR="00177D99" w:rsidRPr="00C243EA">
        <w:rPr>
          <w:sz w:val="26"/>
        </w:rPr>
        <w:t>детей</w:t>
      </w:r>
      <w:r w:rsidRPr="00C243EA">
        <w:rPr>
          <w:sz w:val="26"/>
        </w:rPr>
        <w:t xml:space="preserve">, проведено </w:t>
      </w:r>
      <w:r w:rsidR="00177D99" w:rsidRPr="00C243EA">
        <w:rPr>
          <w:sz w:val="26"/>
        </w:rPr>
        <w:t>537</w:t>
      </w:r>
      <w:r w:rsidRPr="00C243EA">
        <w:rPr>
          <w:sz w:val="26"/>
        </w:rPr>
        <w:t xml:space="preserve"> мероприятий, охват </w:t>
      </w:r>
      <w:r w:rsidR="00177D99" w:rsidRPr="00C243EA">
        <w:rPr>
          <w:sz w:val="26"/>
        </w:rPr>
        <w:t>31 279</w:t>
      </w:r>
      <w:r w:rsidRPr="00C243EA">
        <w:rPr>
          <w:sz w:val="26"/>
        </w:rPr>
        <w:t xml:space="preserve"> чел. (АППГ – </w:t>
      </w:r>
      <w:r w:rsidR="0067141C" w:rsidRPr="00C243EA">
        <w:rPr>
          <w:sz w:val="26"/>
        </w:rPr>
        <w:t xml:space="preserve">417 </w:t>
      </w:r>
      <w:r w:rsidRPr="00C243EA">
        <w:rPr>
          <w:sz w:val="26"/>
        </w:rPr>
        <w:t xml:space="preserve">ед. и </w:t>
      </w:r>
      <w:r w:rsidR="0067141C" w:rsidRPr="00C243EA">
        <w:rPr>
          <w:sz w:val="26"/>
        </w:rPr>
        <w:t>30 152</w:t>
      </w:r>
      <w:r w:rsidRPr="00C243EA">
        <w:rPr>
          <w:sz w:val="26"/>
        </w:rPr>
        <w:t xml:space="preserve"> человека);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 xml:space="preserve">- Кинозал «Кедр» - кинопоказ составил </w:t>
      </w:r>
      <w:r w:rsidR="00177D99" w:rsidRPr="00C243EA">
        <w:rPr>
          <w:sz w:val="26"/>
        </w:rPr>
        <w:t>582</w:t>
      </w:r>
      <w:r w:rsidRPr="00C243EA">
        <w:rPr>
          <w:sz w:val="26"/>
        </w:rPr>
        <w:t xml:space="preserve"> ед., охват аудитории – </w:t>
      </w:r>
      <w:r w:rsidR="00177D99" w:rsidRPr="00C243EA">
        <w:rPr>
          <w:sz w:val="26"/>
        </w:rPr>
        <w:t>14 664</w:t>
      </w:r>
      <w:r w:rsidRPr="00C243EA">
        <w:rPr>
          <w:sz w:val="26"/>
        </w:rPr>
        <w:t xml:space="preserve"> чел.</w:t>
      </w:r>
    </w:p>
    <w:p w:rsidR="00A46A7E" w:rsidRPr="00C243EA" w:rsidRDefault="00622A26" w:rsidP="00A46A7E">
      <w:pPr>
        <w:ind w:firstLine="708"/>
        <w:jc w:val="both"/>
      </w:pPr>
      <w:r w:rsidRPr="00C243EA">
        <w:rPr>
          <w:sz w:val="26"/>
        </w:rPr>
        <w:t>Творческие коллективы учреждений культуры и искусства в 2020 год</w:t>
      </w:r>
      <w:r w:rsidR="00255B91" w:rsidRPr="00C243EA">
        <w:rPr>
          <w:sz w:val="26"/>
        </w:rPr>
        <w:t>у</w:t>
      </w:r>
      <w:r w:rsidRPr="00C243EA">
        <w:rPr>
          <w:sz w:val="26"/>
        </w:rPr>
        <w:t xml:space="preserve"> приняли участие в </w:t>
      </w:r>
      <w:r w:rsidR="00255B91" w:rsidRPr="00C243EA">
        <w:rPr>
          <w:sz w:val="26"/>
        </w:rPr>
        <w:t>92</w:t>
      </w:r>
      <w:r w:rsidRPr="00C243EA">
        <w:rPr>
          <w:sz w:val="26"/>
        </w:rPr>
        <w:t xml:space="preserve"> международных, всероссийских, региональных и городских конкурсах и фестивалях, получен </w:t>
      </w:r>
      <w:r w:rsidR="00255B91" w:rsidRPr="00C243EA">
        <w:rPr>
          <w:sz w:val="26"/>
        </w:rPr>
        <w:t>461</w:t>
      </w:r>
      <w:r w:rsidRPr="00C243EA">
        <w:rPr>
          <w:sz w:val="26"/>
        </w:rPr>
        <w:t xml:space="preserve"> диплом Лауреата, Дипломантов и Дипломов 1,2,3 степени.</w:t>
      </w:r>
      <w:bookmarkStart w:id="59" w:name="_Toc528078043"/>
      <w:bookmarkStart w:id="60" w:name="_Toc386102616"/>
      <w:bookmarkStart w:id="61" w:name="_Toc409623630"/>
      <w:bookmarkStart w:id="62" w:name="_Toc528078033"/>
      <w:bookmarkEnd w:id="58"/>
      <w:r w:rsidR="00A46A7E" w:rsidRPr="00C243EA">
        <w:t xml:space="preserve"> </w:t>
      </w:r>
    </w:p>
    <w:p w:rsidR="00D112AE" w:rsidRPr="00C243EA" w:rsidRDefault="00A46A7E" w:rsidP="00A46A7E">
      <w:pPr>
        <w:ind w:firstLine="708"/>
        <w:jc w:val="both"/>
        <w:rPr>
          <w:sz w:val="26"/>
        </w:rPr>
      </w:pPr>
      <w:r w:rsidRPr="00C243EA">
        <w:rPr>
          <w:sz w:val="26"/>
        </w:rPr>
        <w:t>Согласно распоряжени</w:t>
      </w:r>
      <w:r w:rsidR="00DD01AD">
        <w:rPr>
          <w:sz w:val="26"/>
        </w:rPr>
        <w:t>ю</w:t>
      </w:r>
      <w:r w:rsidRPr="00C243EA">
        <w:rPr>
          <w:sz w:val="26"/>
        </w:rPr>
        <w:t xml:space="preserve"> администрации города Пыть-Яха от 20.08.2020 № 1493-ра «О создании ресурсного центра поддержки социально ориентированных некоммерческих организаций» создан муниципальный ресурсный центр поддержки социально ориентированных некоммерческих организаций на базе муниципального </w:t>
      </w:r>
      <w:r w:rsidRPr="00C243EA">
        <w:rPr>
          <w:sz w:val="26"/>
        </w:rPr>
        <w:lastRenderedPageBreak/>
        <w:t>автономного учреждения культуры «Культурный центр: библиотека-музей». Положение о ресурсном центре поддержки социально ориентированных некоммерческих организаций утверждено локальным нормативным актом муниципального автономного учреждения культуры «Культурный центр: библиотека-музей» от 28.09.2020 №81ОД «О создании ресурсного центра поддержки социально ориентированных некоммерческих организаций». Функциями Ресурсного центра СО НКО являются: оказание информационной, консультационной, методической, организационной, технической, экспертно-аналитической поддержки социально ориентированным некоммерческим организациям, осуществляющим деятельность на территории муниципального образования городской округ город Пыть-Ях, а также инициативным группам граждан, осуществляющим подготовку к созданию СО НКО.</w:t>
      </w:r>
    </w:p>
    <w:p w:rsidR="00D112AE" w:rsidRPr="00C243EA" w:rsidRDefault="00D112AE"/>
    <w:p w:rsidR="00D112AE" w:rsidRPr="00C243EA" w:rsidRDefault="00622A26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  <w:r w:rsidRPr="00C243EA">
        <w:rPr>
          <w:rFonts w:ascii="Times New Roman" w:hAnsi="Times New Roman"/>
          <w:b w:val="0"/>
          <w:i w:val="0"/>
          <w:sz w:val="26"/>
        </w:rPr>
        <w:t>Социальная защита населения</w:t>
      </w:r>
      <w:bookmarkEnd w:id="59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tabs>
          <w:tab w:val="left" w:pos="0"/>
        </w:tabs>
        <w:jc w:val="both"/>
        <w:rPr>
          <w:sz w:val="26"/>
        </w:rPr>
      </w:pPr>
      <w:r w:rsidRPr="00C243EA">
        <w:rPr>
          <w:sz w:val="26"/>
        </w:rPr>
        <w:tab/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3" w:history="1">
        <w:r w:rsidRPr="00C243EA">
          <w:rPr>
            <w:rStyle w:val="afd"/>
            <w:color w:val="auto"/>
            <w:sz w:val="26"/>
            <w:u w:val="none"/>
          </w:rPr>
          <w:t>О мероприятиях по реализации государственной социальной политики</w:t>
        </w:r>
      </w:hyperlink>
      <w:r w:rsidRPr="00C243EA">
        <w:rPr>
          <w:sz w:val="26"/>
        </w:rPr>
        <w:t>», «</w:t>
      </w:r>
      <w:hyperlink r:id="rId14" w:history="1">
        <w:r w:rsidRPr="00C243EA">
          <w:rPr>
            <w:rStyle w:val="afd"/>
            <w:color w:val="auto"/>
            <w:sz w:val="26"/>
            <w:u w:val="none"/>
          </w:rPr>
          <w:t>О мерах по реализации демографической политики Российской Федерации</w:t>
        </w:r>
      </w:hyperlink>
      <w:r w:rsidRPr="00C243EA">
        <w:rPr>
          <w:sz w:val="26"/>
        </w:rPr>
        <w:t xml:space="preserve">». </w:t>
      </w:r>
    </w:p>
    <w:p w:rsidR="00D112AE" w:rsidRPr="00C243EA" w:rsidRDefault="00622A26">
      <w:pPr>
        <w:keepNext/>
        <w:widowControl w:val="0"/>
        <w:ind w:firstLine="720"/>
        <w:jc w:val="both"/>
        <w:rPr>
          <w:sz w:val="26"/>
        </w:rPr>
      </w:pPr>
      <w:r w:rsidRPr="00C243EA">
        <w:rPr>
          <w:sz w:val="26"/>
        </w:rPr>
        <w:t xml:space="preserve">В </w:t>
      </w:r>
      <w:r w:rsidR="000D2040" w:rsidRPr="00C243EA">
        <w:rPr>
          <w:sz w:val="26"/>
        </w:rPr>
        <w:t>2020 году</w:t>
      </w:r>
      <w:r w:rsidRPr="00C243EA">
        <w:rPr>
          <w:sz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ab/>
        <w:t xml:space="preserve">Количество многодетных семей, получающих меры социальной поддержки, на 1 </w:t>
      </w:r>
      <w:r w:rsidR="000D2040" w:rsidRPr="00C243EA">
        <w:rPr>
          <w:sz w:val="26"/>
        </w:rPr>
        <w:t>января</w:t>
      </w:r>
      <w:r w:rsidRPr="00C243EA">
        <w:rPr>
          <w:sz w:val="26"/>
        </w:rPr>
        <w:t xml:space="preserve"> 202</w:t>
      </w:r>
      <w:r w:rsidR="000D2040" w:rsidRPr="00C243EA">
        <w:rPr>
          <w:sz w:val="26"/>
        </w:rPr>
        <w:t>1</w:t>
      </w:r>
      <w:r w:rsidRPr="00C243EA">
        <w:rPr>
          <w:sz w:val="26"/>
        </w:rPr>
        <w:t xml:space="preserve"> года составило </w:t>
      </w:r>
      <w:r w:rsidR="007A56A2" w:rsidRPr="00C243EA">
        <w:rPr>
          <w:sz w:val="26"/>
        </w:rPr>
        <w:t>106</w:t>
      </w:r>
      <w:r w:rsidR="000D2040" w:rsidRPr="00C243EA">
        <w:rPr>
          <w:sz w:val="26"/>
        </w:rPr>
        <w:t>2</w:t>
      </w:r>
      <w:r w:rsidR="00DD01AD">
        <w:rPr>
          <w:sz w:val="26"/>
        </w:rPr>
        <w:t xml:space="preserve"> семьи</w:t>
      </w:r>
      <w:r w:rsidR="00F15F9C" w:rsidRPr="00C243EA">
        <w:rPr>
          <w:sz w:val="26"/>
        </w:rPr>
        <w:t xml:space="preserve"> (АППГ - 92</w:t>
      </w:r>
      <w:r w:rsidR="000D2040" w:rsidRPr="00C243EA">
        <w:rPr>
          <w:sz w:val="26"/>
        </w:rPr>
        <w:t>9</w:t>
      </w:r>
      <w:r w:rsidRPr="00C243EA">
        <w:rPr>
          <w:sz w:val="26"/>
        </w:rPr>
        <w:t xml:space="preserve"> семей). </w:t>
      </w:r>
    </w:p>
    <w:p w:rsidR="00D112AE" w:rsidRPr="00C243EA" w:rsidRDefault="00D112AE">
      <w:pPr>
        <w:jc w:val="center"/>
        <w:rPr>
          <w:sz w:val="26"/>
        </w:rPr>
      </w:pPr>
    </w:p>
    <w:p w:rsidR="00D112AE" w:rsidRPr="00C243EA" w:rsidRDefault="00622A26">
      <w:pPr>
        <w:jc w:val="center"/>
        <w:rPr>
          <w:sz w:val="26"/>
        </w:rPr>
      </w:pPr>
      <w:r w:rsidRPr="00C243EA">
        <w:rPr>
          <w:sz w:val="26"/>
        </w:rPr>
        <w:t>Динамика расходования средств</w:t>
      </w:r>
    </w:p>
    <w:p w:rsidR="00D112AE" w:rsidRPr="00C243EA" w:rsidRDefault="00622A26">
      <w:pPr>
        <w:jc w:val="center"/>
        <w:rPr>
          <w:sz w:val="26"/>
        </w:rPr>
      </w:pPr>
      <w:r w:rsidRPr="00C243EA">
        <w:rPr>
          <w:sz w:val="26"/>
        </w:rPr>
        <w:t>на выплату отдельных государственных услуг</w:t>
      </w:r>
    </w:p>
    <w:p w:rsidR="00D112AE" w:rsidRPr="00C243EA" w:rsidRDefault="000B1994">
      <w:pPr>
        <w:jc w:val="both"/>
        <w:rPr>
          <w:sz w:val="26"/>
        </w:rPr>
      </w:pPr>
      <w:r w:rsidRPr="00C243EA">
        <w:rPr>
          <w:noProof/>
          <w:sz w:val="26"/>
          <w:szCs w:val="26"/>
        </w:rPr>
        <w:drawing>
          <wp:inline distT="0" distB="0" distL="0" distR="0" wp14:anchorId="2B953B2F" wp14:editId="170C3FFC">
            <wp:extent cx="5991225" cy="25050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C6F4B" w:rsidRPr="00C243EA" w:rsidRDefault="003C6F4B" w:rsidP="00424469">
      <w:pPr>
        <w:ind w:firstLine="708"/>
        <w:jc w:val="both"/>
        <w:rPr>
          <w:sz w:val="26"/>
        </w:rPr>
      </w:pPr>
    </w:p>
    <w:p w:rsidR="00D112AE" w:rsidRPr="00C243EA" w:rsidRDefault="00622A26" w:rsidP="00424469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2 </w:t>
      </w:r>
      <w:r w:rsidR="00424469" w:rsidRPr="00C243EA">
        <w:rPr>
          <w:sz w:val="26"/>
        </w:rPr>
        <w:t>619</w:t>
      </w:r>
      <w:r w:rsidRPr="00C243EA">
        <w:rPr>
          <w:sz w:val="26"/>
        </w:rPr>
        <w:t xml:space="preserve"> чел.</w:t>
      </w:r>
      <w:r w:rsidR="00424469" w:rsidRPr="00C243EA">
        <w:rPr>
          <w:sz w:val="26"/>
        </w:rPr>
        <w:t xml:space="preserve"> </w:t>
      </w:r>
      <w:r w:rsidRPr="00C243EA">
        <w:rPr>
          <w:sz w:val="26"/>
        </w:rPr>
        <w:t>Сумм</w:t>
      </w:r>
      <w:r w:rsidR="00424469" w:rsidRPr="00C243EA">
        <w:rPr>
          <w:sz w:val="26"/>
        </w:rPr>
        <w:t>а</w:t>
      </w:r>
      <w:r w:rsidRPr="00C243EA">
        <w:rPr>
          <w:sz w:val="26"/>
        </w:rPr>
        <w:t xml:space="preserve"> расход</w:t>
      </w:r>
      <w:r w:rsidR="00424469" w:rsidRPr="00C243EA">
        <w:rPr>
          <w:sz w:val="26"/>
        </w:rPr>
        <w:t>ов за отчетный период составила 71 816,7 тыс.руб.</w:t>
      </w:r>
    </w:p>
    <w:p w:rsidR="00687F6F" w:rsidRPr="00C243EA" w:rsidRDefault="00424469" w:rsidP="008F3673">
      <w:pPr>
        <w:ind w:firstLine="708"/>
        <w:jc w:val="both"/>
        <w:rPr>
          <w:sz w:val="26"/>
        </w:rPr>
      </w:pPr>
      <w:r w:rsidRPr="00C243EA">
        <w:rPr>
          <w:sz w:val="26"/>
        </w:rPr>
        <w:lastRenderedPageBreak/>
        <w:t>По осуществлению ежемесячной выплаты в связи с рождением (усыновлением) первого ребенка за 2020 год расходование средств составило 41 271,4 тыс. руб.</w:t>
      </w:r>
    </w:p>
    <w:p w:rsidR="00D112AE" w:rsidRPr="00C243EA" w:rsidRDefault="00687F6F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ab/>
      </w:r>
      <w:r w:rsidR="00622A26" w:rsidRPr="00C243EA">
        <w:rPr>
          <w:rFonts w:ascii="Times New Roman" w:hAnsi="Times New Roman"/>
          <w:sz w:val="26"/>
        </w:rPr>
        <w:t>Кроме филиала КУ «Центр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D112AE" w:rsidRPr="00C243EA" w:rsidRDefault="00622A26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>-</w:t>
      </w:r>
      <w:r w:rsidRPr="00C243EA">
        <w:rPr>
          <w:rFonts w:ascii="Times New Roman" w:hAnsi="Times New Roman"/>
          <w:sz w:val="26"/>
        </w:rPr>
        <w:tab/>
        <w:t>БУ Ханты-Мансийского автономного округа – Югры «Пыть-Яхский комплексный центр социального обслуживания населения»;</w:t>
      </w:r>
    </w:p>
    <w:p w:rsidR="00D112AE" w:rsidRPr="00C243EA" w:rsidRDefault="00622A26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>-</w:t>
      </w:r>
      <w:r w:rsidRPr="00C243EA">
        <w:rPr>
          <w:rFonts w:ascii="Times New Roman" w:hAnsi="Times New Roman"/>
          <w:sz w:val="26"/>
        </w:rPr>
        <w:tab/>
        <w:t xml:space="preserve">Реабилитационный центр для детей и подростков с ограниченными возможностями «Журавушка». </w:t>
      </w:r>
    </w:p>
    <w:p w:rsidR="00D112AE" w:rsidRPr="00C243EA" w:rsidRDefault="00622A26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 xml:space="preserve">За </w:t>
      </w:r>
      <w:r w:rsidR="00D22085" w:rsidRPr="00C243EA">
        <w:rPr>
          <w:rFonts w:ascii="Times New Roman" w:hAnsi="Times New Roman"/>
          <w:sz w:val="26"/>
        </w:rPr>
        <w:t>2020 год</w:t>
      </w:r>
      <w:r w:rsidRPr="00C243EA">
        <w:rPr>
          <w:rFonts w:ascii="Times New Roman" w:hAnsi="Times New Roman"/>
          <w:sz w:val="26"/>
        </w:rPr>
        <w:t xml:space="preserve"> учреждениями социального обслуживания предоставлено </w:t>
      </w:r>
      <w:r w:rsidR="00D22085" w:rsidRPr="00C243EA">
        <w:rPr>
          <w:rFonts w:ascii="Times New Roman" w:hAnsi="Times New Roman"/>
          <w:sz w:val="26"/>
        </w:rPr>
        <w:t>199,9</w:t>
      </w:r>
      <w:r w:rsidRPr="00C243EA">
        <w:rPr>
          <w:rFonts w:ascii="Times New Roman" w:hAnsi="Times New Roman"/>
          <w:sz w:val="26"/>
        </w:rPr>
        <w:t xml:space="preserve"> тыс. услуг (АППГ – </w:t>
      </w:r>
      <w:r w:rsidR="00D22085" w:rsidRPr="00C243EA">
        <w:rPr>
          <w:rFonts w:ascii="Times New Roman" w:hAnsi="Times New Roman"/>
          <w:sz w:val="26"/>
        </w:rPr>
        <w:t>276,5</w:t>
      </w:r>
      <w:r w:rsidRPr="00C243EA">
        <w:rPr>
          <w:rFonts w:ascii="Times New Roman" w:hAnsi="Times New Roman"/>
          <w:sz w:val="26"/>
        </w:rPr>
        <w:t xml:space="preserve"> тыс. услуг), обслужено </w:t>
      </w:r>
      <w:r w:rsidR="00D22085" w:rsidRPr="00C243EA">
        <w:rPr>
          <w:rFonts w:ascii="Times New Roman" w:hAnsi="Times New Roman"/>
          <w:sz w:val="26"/>
        </w:rPr>
        <w:t>4 684</w:t>
      </w:r>
      <w:r w:rsidRPr="00C243EA">
        <w:rPr>
          <w:rFonts w:ascii="Times New Roman" w:hAnsi="Times New Roman"/>
          <w:sz w:val="26"/>
        </w:rPr>
        <w:t xml:space="preserve"> чел. (АППГ – </w:t>
      </w:r>
      <w:r w:rsidR="00D22085" w:rsidRPr="00C243EA">
        <w:rPr>
          <w:rFonts w:ascii="Times New Roman" w:hAnsi="Times New Roman"/>
          <w:sz w:val="26"/>
        </w:rPr>
        <w:t>5,6</w:t>
      </w:r>
      <w:r w:rsidRPr="00C243EA">
        <w:rPr>
          <w:rFonts w:ascii="Times New Roman" w:hAnsi="Times New Roman"/>
          <w:sz w:val="26"/>
        </w:rPr>
        <w:t xml:space="preserve"> тыс.чел.), принято обращений – </w:t>
      </w:r>
      <w:r w:rsidR="00D22085" w:rsidRPr="00C243EA">
        <w:rPr>
          <w:rFonts w:ascii="Times New Roman" w:hAnsi="Times New Roman"/>
          <w:sz w:val="26"/>
        </w:rPr>
        <w:t>8 298</w:t>
      </w:r>
      <w:r w:rsidRPr="00C243EA">
        <w:rPr>
          <w:rFonts w:ascii="Times New Roman" w:hAnsi="Times New Roman"/>
          <w:sz w:val="26"/>
        </w:rPr>
        <w:t xml:space="preserve"> ед. </w:t>
      </w:r>
    </w:p>
    <w:p w:rsidR="00F15F9C" w:rsidRPr="00C243EA" w:rsidRDefault="00F15F9C" w:rsidP="003C6F4B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За </w:t>
      </w:r>
      <w:r w:rsidR="003C6F4B" w:rsidRPr="00C243EA">
        <w:rPr>
          <w:sz w:val="26"/>
        </w:rPr>
        <w:t>2020 год</w:t>
      </w:r>
      <w:r w:rsidRPr="00C243EA">
        <w:rPr>
          <w:sz w:val="26"/>
        </w:rPr>
        <w:t xml:space="preserve"> Управлением социальной защиты по г. Пыть-Яху за оказанные социальные услуги негосударственным поставщикам социальных услуг представлена финансовая поддержка на сумму </w:t>
      </w:r>
      <w:r w:rsidR="003C6F4B" w:rsidRPr="00C243EA">
        <w:rPr>
          <w:sz w:val="26"/>
        </w:rPr>
        <w:t>1 971</w:t>
      </w:r>
      <w:r w:rsidRPr="00C243EA">
        <w:rPr>
          <w:sz w:val="26"/>
        </w:rPr>
        <w:t xml:space="preserve"> тыс.руб.</w:t>
      </w:r>
      <w:r w:rsidR="003C6F4B" w:rsidRPr="00C243EA">
        <w:rPr>
          <w:sz w:val="26"/>
        </w:rPr>
        <w:t>(</w:t>
      </w:r>
      <w:r w:rsidRPr="00C243EA">
        <w:rPr>
          <w:sz w:val="26"/>
        </w:rPr>
        <w:t>компенсация за оказанные услуги на дому АНО «Центр</w:t>
      </w:r>
      <w:r w:rsidR="003C6F4B" w:rsidRPr="00C243EA">
        <w:rPr>
          <w:sz w:val="26"/>
        </w:rPr>
        <w:t xml:space="preserve"> социальной помощи «Призвание»; государственный заказ на оказание срочных услуг гражданам, находящимся в трудной жизненной ситуации; оплата услуг социальной реабилитации лиц без определенного места жительства, лиц освободившихся из мест лишения свободы; оплата услуг по социальной реабилитации и ресоциализации граждан, страдающих наркологическими заболеваниями).</w:t>
      </w:r>
    </w:p>
    <w:p w:rsidR="00687F6F" w:rsidRPr="00C243EA" w:rsidRDefault="00687F6F" w:rsidP="001C73C1">
      <w:pPr>
        <w:ind w:firstLine="708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687F6F" w:rsidRPr="00C243EA" w:rsidRDefault="00687F6F" w:rsidP="00687F6F">
      <w:pPr>
        <w:pStyle w:val="HTML"/>
        <w:tabs>
          <w:tab w:val="left" w:pos="720"/>
        </w:tabs>
        <w:jc w:val="center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 xml:space="preserve">Меры социальной поддержки в период </w:t>
      </w:r>
      <w:r w:rsidRPr="00C243EA">
        <w:rPr>
          <w:rFonts w:ascii="Times New Roman" w:hAnsi="Times New Roman"/>
          <w:sz w:val="26"/>
          <w:lang w:val="en-US"/>
        </w:rPr>
        <w:t>COVID</w:t>
      </w:r>
      <w:r w:rsidRPr="00C243EA">
        <w:rPr>
          <w:rFonts w:ascii="Times New Roman" w:hAnsi="Times New Roman"/>
          <w:sz w:val="26"/>
        </w:rPr>
        <w:t>-19</w:t>
      </w:r>
    </w:p>
    <w:p w:rsidR="00687F6F" w:rsidRPr="00C243EA" w:rsidRDefault="00687F6F" w:rsidP="00687F6F">
      <w:pPr>
        <w:pStyle w:val="HTML"/>
        <w:tabs>
          <w:tab w:val="left" w:pos="720"/>
        </w:tabs>
        <w:jc w:val="center"/>
        <w:rPr>
          <w:rFonts w:ascii="Times New Roman" w:hAnsi="Times New Roman"/>
          <w:sz w:val="26"/>
        </w:rPr>
      </w:pPr>
    </w:p>
    <w:p w:rsidR="00687F6F" w:rsidRPr="00C243EA" w:rsidRDefault="00687F6F" w:rsidP="00687F6F">
      <w:pPr>
        <w:pStyle w:val="HTML"/>
        <w:tabs>
          <w:tab w:val="left" w:pos="720"/>
        </w:tabs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ab/>
        <w:t>Начиная с 2020 года осуществляется ежемесячная денежная выплата на детей в возрасте от 3 до 7 лет включительно в соответствии с Указом Президента от 20 марта 2020 г. №199 «О дополнительных мерах государственной поддержки семей, имеющих детей». За истекший период выплата предоставлена на 1355 детей, сумма расходов за счет средств федерального бюджета составила 47722,7 тыс. руб.</w:t>
      </w:r>
    </w:p>
    <w:p w:rsidR="00687F6F" w:rsidRPr="00C243EA" w:rsidRDefault="00687F6F" w:rsidP="00687F6F">
      <w:pPr>
        <w:pStyle w:val="HTML"/>
        <w:tabs>
          <w:tab w:val="left" w:pos="720"/>
        </w:tabs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ab/>
        <w:t xml:space="preserve"> Семьям, имеющи</w:t>
      </w:r>
      <w:r w:rsidR="00DD01AD">
        <w:rPr>
          <w:rFonts w:ascii="Times New Roman" w:hAnsi="Times New Roman"/>
          <w:sz w:val="26"/>
        </w:rPr>
        <w:t>м</w:t>
      </w:r>
      <w:r w:rsidRPr="00C243EA">
        <w:rPr>
          <w:rFonts w:ascii="Times New Roman" w:hAnsi="Times New Roman"/>
          <w:sz w:val="26"/>
        </w:rPr>
        <w:t xml:space="preserve"> ребенка (детей), рожденного (рожденных) с 28 мая 2002 года по 10 мая 2004 года произведена единовременная выплат в размере 3 тысяч рублей. Выплата осуществлена на 719 детей.</w:t>
      </w:r>
    </w:p>
    <w:p w:rsidR="00687F6F" w:rsidRPr="00C243EA" w:rsidRDefault="00687F6F" w:rsidP="00687F6F">
      <w:pPr>
        <w:pStyle w:val="HTML"/>
        <w:tabs>
          <w:tab w:val="left" w:pos="720"/>
        </w:tabs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ab/>
        <w:t>Выпускникам, прошедшим в 2020 году государственную итоговую аттестацию по государственным программам среднего общего образования в Ханты-Мансийском автономном округе-Югре. Выплата осуществлена в беззаявительном порядке 263 выпускникам.</w:t>
      </w:r>
    </w:p>
    <w:p w:rsidR="00687F6F" w:rsidRPr="00C243EA" w:rsidRDefault="00687F6F" w:rsidP="00687F6F">
      <w:pPr>
        <w:pStyle w:val="HTML"/>
        <w:tabs>
          <w:tab w:val="left" w:pos="720"/>
        </w:tabs>
        <w:jc w:val="both"/>
        <w:rPr>
          <w:rFonts w:ascii="Times New Roman" w:hAnsi="Times New Roman"/>
          <w:sz w:val="26"/>
        </w:rPr>
      </w:pPr>
      <w:r w:rsidRPr="00C243EA">
        <w:rPr>
          <w:rFonts w:ascii="Times New Roman" w:hAnsi="Times New Roman"/>
          <w:sz w:val="26"/>
        </w:rPr>
        <w:tab/>
        <w:t>Неработающим пенсионерам раньше обычного произведена единовременная выплата к праздничной дате нашего региона. Выплата предоставлена в размере 3000 рублей 6773 пенсионерам.</w:t>
      </w:r>
    </w:p>
    <w:p w:rsidR="00D112AE" w:rsidRPr="00C243EA" w:rsidRDefault="00687F6F" w:rsidP="008F3673">
      <w:pPr>
        <w:ind w:firstLine="708"/>
        <w:jc w:val="both"/>
        <w:rPr>
          <w:sz w:val="26"/>
        </w:rPr>
      </w:pPr>
      <w:r w:rsidRPr="00C243EA">
        <w:rPr>
          <w:sz w:val="26"/>
        </w:rPr>
        <w:t>В период с 01.04.2020 осуществляется автоматическое продление ранее       назначенных отдельных видов мер социальной поддержки без подачи заявления и предоставления соответствующих документов гражданами.</w:t>
      </w:r>
    </w:p>
    <w:p w:rsidR="00D112AE" w:rsidRPr="00C243EA" w:rsidRDefault="00D112AE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</w:p>
    <w:p w:rsidR="00D112AE" w:rsidRPr="00C243EA" w:rsidRDefault="00622A26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6"/>
        </w:rPr>
      </w:pPr>
      <w:r w:rsidRPr="00C243EA">
        <w:rPr>
          <w:rFonts w:ascii="Times New Roman" w:hAnsi="Times New Roman"/>
          <w:b w:val="0"/>
          <w:i w:val="0"/>
          <w:sz w:val="26"/>
        </w:rPr>
        <w:t>Физическая культура и спорт</w:t>
      </w:r>
      <w:bookmarkEnd w:id="60"/>
      <w:bookmarkEnd w:id="61"/>
      <w:bookmarkEnd w:id="62"/>
      <w:r w:rsidRPr="00C243EA">
        <w:rPr>
          <w:rFonts w:ascii="Times New Roman" w:hAnsi="Times New Roman"/>
          <w:b w:val="0"/>
          <w:i w:val="0"/>
          <w:sz w:val="26"/>
        </w:rPr>
        <w:t xml:space="preserve"> </w:t>
      </w:r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keepNext/>
        <w:widowControl w:val="0"/>
        <w:ind w:firstLine="720"/>
        <w:jc w:val="both"/>
        <w:rPr>
          <w:sz w:val="26"/>
        </w:rPr>
      </w:pPr>
      <w:r w:rsidRPr="00C243EA">
        <w:rPr>
          <w:sz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подготовку спортивного резерва, поддержку развития спорта высших достижений, в том числе спорта инвалидов и лиц с ограниченными возможностями здоровья. 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В сфере физической культуры и спорта города функционируют 3 му</w:t>
      </w:r>
      <w:r w:rsidR="0019305E" w:rsidRPr="00C243EA">
        <w:rPr>
          <w:sz w:val="26"/>
        </w:rPr>
        <w:t>ниципальных учреждения. На 01.01</w:t>
      </w:r>
      <w:r w:rsidRPr="00C243EA">
        <w:rPr>
          <w:sz w:val="26"/>
        </w:rPr>
        <w:t>.202</w:t>
      </w:r>
      <w:r w:rsidR="0019305E" w:rsidRPr="00C243EA">
        <w:rPr>
          <w:sz w:val="26"/>
        </w:rPr>
        <w:t>1</w:t>
      </w:r>
      <w:r w:rsidRPr="00C243EA">
        <w:rPr>
          <w:sz w:val="26"/>
        </w:rPr>
        <w:t xml:space="preserve"> года в городе работает</w:t>
      </w:r>
      <w:r w:rsidRPr="00C243EA">
        <w:rPr>
          <w:color w:val="000000" w:themeColor="text1"/>
          <w:sz w:val="26"/>
        </w:rPr>
        <w:t xml:space="preserve"> 1</w:t>
      </w:r>
      <w:r w:rsidR="00A61938" w:rsidRPr="00C243EA">
        <w:rPr>
          <w:color w:val="000000" w:themeColor="text1"/>
          <w:sz w:val="26"/>
        </w:rPr>
        <w:t>15</w:t>
      </w:r>
      <w:r w:rsidRPr="00C243EA">
        <w:rPr>
          <w:sz w:val="26"/>
        </w:rPr>
        <w:t xml:space="preserve"> спортивных объектов с единовременной пропускной способностью 2 </w:t>
      </w:r>
      <w:r w:rsidR="00A61938" w:rsidRPr="00C243EA">
        <w:rPr>
          <w:sz w:val="26"/>
        </w:rPr>
        <w:t>713</w:t>
      </w:r>
      <w:r w:rsidRPr="00C243EA">
        <w:rPr>
          <w:sz w:val="26"/>
        </w:rPr>
        <w:t xml:space="preserve"> человек в смену. 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ab/>
        <w:t>Обеспеченность города спортивными сооружениями составляет 5</w:t>
      </w:r>
      <w:r w:rsidR="00A61938" w:rsidRPr="00C243EA">
        <w:rPr>
          <w:sz w:val="26"/>
        </w:rPr>
        <w:t>6,2</w:t>
      </w:r>
      <w:r w:rsidRPr="00C243EA">
        <w:rPr>
          <w:sz w:val="26"/>
        </w:rPr>
        <w:t xml:space="preserve">% от необходимой обеспеченности единовременной пропускной способности </w:t>
      </w:r>
      <w:r w:rsidR="00A61938" w:rsidRPr="00C243EA">
        <w:rPr>
          <w:sz w:val="26"/>
        </w:rPr>
        <w:t>спортивными сооружениями города.</w:t>
      </w:r>
    </w:p>
    <w:p w:rsidR="00D112AE" w:rsidRPr="00C243EA" w:rsidRDefault="0019305E">
      <w:pPr>
        <w:ind w:firstLine="708"/>
        <w:jc w:val="both"/>
        <w:rPr>
          <w:sz w:val="26"/>
        </w:rPr>
      </w:pPr>
      <w:r w:rsidRPr="00C243EA">
        <w:rPr>
          <w:sz w:val="26"/>
        </w:rPr>
        <w:t>На 01.01</w:t>
      </w:r>
      <w:r w:rsidR="00622A26" w:rsidRPr="00C243EA">
        <w:rPr>
          <w:sz w:val="26"/>
        </w:rPr>
        <w:t>.202</w:t>
      </w:r>
      <w:r w:rsidRPr="00C243EA">
        <w:rPr>
          <w:sz w:val="26"/>
        </w:rPr>
        <w:t>1</w:t>
      </w:r>
      <w:r w:rsidR="00622A26" w:rsidRPr="00C243EA">
        <w:rPr>
          <w:sz w:val="26"/>
        </w:rPr>
        <w:t xml:space="preserve"> года на территории города проведено </w:t>
      </w:r>
      <w:r w:rsidRPr="00C243EA">
        <w:rPr>
          <w:sz w:val="26"/>
        </w:rPr>
        <w:t>54</w:t>
      </w:r>
      <w:r w:rsidR="00622A26" w:rsidRPr="00C243EA">
        <w:rPr>
          <w:sz w:val="26"/>
        </w:rPr>
        <w:t xml:space="preserve"> спортивно-массовых мероприяти</w:t>
      </w:r>
      <w:r w:rsidR="005B42F7">
        <w:rPr>
          <w:sz w:val="26"/>
        </w:rPr>
        <w:t>я</w:t>
      </w:r>
      <w:r w:rsidR="00622A26" w:rsidRPr="00C243EA">
        <w:rPr>
          <w:sz w:val="26"/>
        </w:rPr>
        <w:t xml:space="preserve"> (АППГ – </w:t>
      </w:r>
      <w:r w:rsidRPr="00C243EA">
        <w:rPr>
          <w:sz w:val="26"/>
        </w:rPr>
        <w:t>121</w:t>
      </w:r>
      <w:r w:rsidR="00622A26" w:rsidRPr="00C243EA">
        <w:rPr>
          <w:sz w:val="26"/>
        </w:rPr>
        <w:t xml:space="preserve"> мероприяти</w:t>
      </w:r>
      <w:r w:rsidRPr="00C243EA">
        <w:rPr>
          <w:sz w:val="26"/>
        </w:rPr>
        <w:t>е</w:t>
      </w:r>
      <w:r w:rsidR="00622A26" w:rsidRPr="00C243EA">
        <w:rPr>
          <w:sz w:val="26"/>
        </w:rPr>
        <w:t>).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Спортсмены города Пыть-Ях в отчетном году приняли участие в </w:t>
      </w:r>
      <w:r w:rsidR="0019305E" w:rsidRPr="00C243EA">
        <w:rPr>
          <w:sz w:val="26"/>
        </w:rPr>
        <w:t>35</w:t>
      </w:r>
      <w:r w:rsidRPr="00C243EA">
        <w:rPr>
          <w:sz w:val="26"/>
        </w:rPr>
        <w:t xml:space="preserve"> официальных соревнованиях, а также в окружных всероссийских и международных соревнованиях. На данных спортивно-массовых мероприятиях спортсменами города было завоевано 6</w:t>
      </w:r>
      <w:r w:rsidR="0019305E" w:rsidRPr="00C243EA">
        <w:rPr>
          <w:sz w:val="26"/>
        </w:rPr>
        <w:t>8</w:t>
      </w:r>
      <w:r w:rsidRPr="00C243EA">
        <w:rPr>
          <w:sz w:val="26"/>
        </w:rPr>
        <w:t xml:space="preserve"> призовых медалей: 1 место -2</w:t>
      </w:r>
      <w:r w:rsidR="0019305E" w:rsidRPr="00C243EA">
        <w:rPr>
          <w:sz w:val="26"/>
        </w:rPr>
        <w:t>9</w:t>
      </w:r>
      <w:r w:rsidRPr="00C243EA">
        <w:rPr>
          <w:sz w:val="26"/>
        </w:rPr>
        <w:t xml:space="preserve">; 2 место – </w:t>
      </w:r>
      <w:r w:rsidR="0019305E" w:rsidRPr="00C243EA">
        <w:rPr>
          <w:sz w:val="26"/>
        </w:rPr>
        <w:t>20</w:t>
      </w:r>
      <w:r w:rsidRPr="00C243EA">
        <w:rPr>
          <w:sz w:val="26"/>
        </w:rPr>
        <w:t>; 3 место – 19 медалей.</w:t>
      </w:r>
    </w:p>
    <w:p w:rsidR="00D112AE" w:rsidRPr="00C243EA" w:rsidRDefault="00622A26">
      <w:pPr>
        <w:tabs>
          <w:tab w:val="left" w:pos="0"/>
          <w:tab w:val="left" w:pos="709"/>
        </w:tabs>
        <w:jc w:val="both"/>
        <w:rPr>
          <w:sz w:val="26"/>
        </w:rPr>
      </w:pPr>
      <w:r w:rsidRPr="00C243EA">
        <w:rPr>
          <w:sz w:val="26"/>
        </w:rPr>
        <w:tab/>
        <w:t>В городе действуют 10 общественных федераций, количество занимающихся в секциях по состоянию на 01.</w:t>
      </w:r>
      <w:r w:rsidR="0019305E" w:rsidRPr="00C243EA">
        <w:rPr>
          <w:sz w:val="26"/>
        </w:rPr>
        <w:t>01</w:t>
      </w:r>
      <w:r w:rsidRPr="00C243EA">
        <w:rPr>
          <w:sz w:val="26"/>
        </w:rPr>
        <w:t>.202</w:t>
      </w:r>
      <w:r w:rsidR="0019305E" w:rsidRPr="00C243EA">
        <w:rPr>
          <w:sz w:val="26"/>
        </w:rPr>
        <w:t>1</w:t>
      </w:r>
      <w:r w:rsidRPr="00C243EA">
        <w:rPr>
          <w:sz w:val="26"/>
        </w:rPr>
        <w:t xml:space="preserve"> года составило 960 человек.</w:t>
      </w:r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bookmarkStart w:id="63" w:name="_Toc528078034"/>
      <w:r w:rsidRPr="00C243EA">
        <w:rPr>
          <w:rFonts w:ascii="Times New Roman" w:hAnsi="Times New Roman"/>
          <w:b w:val="0"/>
          <w:sz w:val="26"/>
        </w:rPr>
        <w:t>Жилищно-коммунальный комплекс</w:t>
      </w:r>
      <w:bookmarkEnd w:id="63"/>
    </w:p>
    <w:p w:rsidR="00D112AE" w:rsidRPr="00C243EA" w:rsidRDefault="00D112AE">
      <w:pPr>
        <w:rPr>
          <w:sz w:val="26"/>
        </w:rPr>
      </w:pPr>
    </w:p>
    <w:p w:rsidR="00D112AE" w:rsidRPr="00202DCB" w:rsidRDefault="00622A26">
      <w:pPr>
        <w:tabs>
          <w:tab w:val="left" w:pos="0"/>
          <w:tab w:val="left" w:pos="709"/>
        </w:tabs>
        <w:jc w:val="both"/>
        <w:rPr>
          <w:sz w:val="26"/>
        </w:rPr>
      </w:pPr>
      <w:r w:rsidRPr="00C243EA">
        <w:rPr>
          <w:sz w:val="26"/>
        </w:rPr>
        <w:tab/>
      </w:r>
      <w:r w:rsidRPr="00202DCB">
        <w:rPr>
          <w:sz w:val="26"/>
        </w:rPr>
        <w:t>Жилищный ф</w:t>
      </w:r>
      <w:r w:rsidR="00A312DE">
        <w:rPr>
          <w:sz w:val="26"/>
        </w:rPr>
        <w:t>онд города по состоянию на 01.01</w:t>
      </w:r>
      <w:r w:rsidR="006E4646" w:rsidRPr="00202DCB">
        <w:rPr>
          <w:sz w:val="26"/>
        </w:rPr>
        <w:t>.2021</w:t>
      </w:r>
      <w:r w:rsidRPr="00202DCB">
        <w:rPr>
          <w:sz w:val="26"/>
        </w:rPr>
        <w:t>г. составляет 7</w:t>
      </w:r>
      <w:r w:rsidR="006E4646" w:rsidRPr="00202DCB">
        <w:rPr>
          <w:sz w:val="26"/>
        </w:rPr>
        <w:t xml:space="preserve">35,6 </w:t>
      </w:r>
      <w:r w:rsidRPr="00202DCB">
        <w:rPr>
          <w:sz w:val="26"/>
        </w:rPr>
        <w:t xml:space="preserve">тыс.кв.м., в том числе муниципальной формы собственности – </w:t>
      </w:r>
      <w:r w:rsidR="006E4646" w:rsidRPr="00202DCB">
        <w:rPr>
          <w:sz w:val="26"/>
        </w:rPr>
        <w:t>71,7</w:t>
      </w:r>
      <w:r w:rsidRPr="00202DCB">
        <w:rPr>
          <w:sz w:val="26"/>
        </w:rPr>
        <w:t xml:space="preserve"> тыс.кв.м., частной формы собственности – 66</w:t>
      </w:r>
      <w:r w:rsidR="006E4646" w:rsidRPr="00202DCB">
        <w:rPr>
          <w:sz w:val="26"/>
        </w:rPr>
        <w:t xml:space="preserve">3,9 </w:t>
      </w:r>
      <w:r w:rsidRPr="00202DCB">
        <w:rPr>
          <w:sz w:val="26"/>
        </w:rPr>
        <w:t xml:space="preserve">тыс.кв.м. В индивидуально-определенных зданиях – </w:t>
      </w:r>
      <w:r w:rsidR="006E4646" w:rsidRPr="00202DCB">
        <w:rPr>
          <w:sz w:val="26"/>
        </w:rPr>
        <w:t>51,5</w:t>
      </w:r>
      <w:r w:rsidRPr="00202DCB">
        <w:rPr>
          <w:sz w:val="26"/>
        </w:rPr>
        <w:t xml:space="preserve"> тыс.кв.м, в многоквартирных домах – </w:t>
      </w:r>
      <w:r w:rsidR="006E4646" w:rsidRPr="00202DCB">
        <w:rPr>
          <w:sz w:val="26"/>
        </w:rPr>
        <w:t>684,1</w:t>
      </w:r>
      <w:r w:rsidRPr="00202DCB">
        <w:rPr>
          <w:sz w:val="26"/>
        </w:rPr>
        <w:t xml:space="preserve"> тыс.кв.м. Ветхий и аварийный жилищный фонд – </w:t>
      </w:r>
      <w:r w:rsidR="006E4646" w:rsidRPr="00202DCB">
        <w:rPr>
          <w:sz w:val="26"/>
        </w:rPr>
        <w:t>24,3</w:t>
      </w:r>
      <w:r w:rsidRPr="00202DCB">
        <w:rPr>
          <w:sz w:val="26"/>
        </w:rPr>
        <w:t xml:space="preserve"> тыс.кв.м. (</w:t>
      </w:r>
      <w:r w:rsidR="006E4646" w:rsidRPr="00202DCB">
        <w:rPr>
          <w:sz w:val="26"/>
        </w:rPr>
        <w:t>3,3</w:t>
      </w:r>
      <w:r w:rsidRPr="00202DCB">
        <w:rPr>
          <w:sz w:val="26"/>
        </w:rPr>
        <w:t>% от общего жилищного фонда).</w:t>
      </w:r>
    </w:p>
    <w:p w:rsidR="00D112AE" w:rsidRPr="00202DCB" w:rsidRDefault="00622A26">
      <w:pPr>
        <w:tabs>
          <w:tab w:val="left" w:pos="0"/>
          <w:tab w:val="left" w:pos="709"/>
        </w:tabs>
        <w:jc w:val="both"/>
        <w:rPr>
          <w:sz w:val="26"/>
        </w:rPr>
      </w:pPr>
      <w:r w:rsidRPr="00202DCB">
        <w:rPr>
          <w:sz w:val="26"/>
        </w:rPr>
        <w:tab/>
        <w:t>В рамках муниципальной программы ««Развитие жилищной сферы в городе</w:t>
      </w:r>
      <w:r w:rsidR="001E2399" w:rsidRPr="00202DCB">
        <w:rPr>
          <w:sz w:val="26"/>
        </w:rPr>
        <w:t xml:space="preserve"> Пыть-Яхе» по состоянию</w:t>
      </w:r>
      <w:r w:rsidR="00497FDD" w:rsidRPr="00202DCB">
        <w:rPr>
          <w:sz w:val="26"/>
        </w:rPr>
        <w:t xml:space="preserve"> на 01.</w:t>
      </w:r>
      <w:r w:rsidR="000748BC" w:rsidRPr="00202DCB">
        <w:rPr>
          <w:sz w:val="26"/>
        </w:rPr>
        <w:t>01</w:t>
      </w:r>
      <w:r w:rsidRPr="00202DCB">
        <w:rPr>
          <w:sz w:val="26"/>
        </w:rPr>
        <w:t>.202</w:t>
      </w:r>
      <w:r w:rsidR="000748BC" w:rsidRPr="00202DCB">
        <w:rPr>
          <w:sz w:val="26"/>
        </w:rPr>
        <w:t>1</w:t>
      </w:r>
      <w:r w:rsidRPr="00202DCB">
        <w:rPr>
          <w:sz w:val="26"/>
        </w:rPr>
        <w:t>:</w:t>
      </w:r>
    </w:p>
    <w:p w:rsidR="00D112AE" w:rsidRPr="00202DCB" w:rsidRDefault="00622A26">
      <w:pPr>
        <w:tabs>
          <w:tab w:val="left" w:pos="0"/>
          <w:tab w:val="left" w:pos="709"/>
        </w:tabs>
        <w:jc w:val="both"/>
        <w:rPr>
          <w:sz w:val="26"/>
        </w:rPr>
      </w:pPr>
      <w:r w:rsidRPr="00202DCB">
        <w:rPr>
          <w:sz w:val="26"/>
        </w:rPr>
        <w:t>- заключены муниципальные контракты на приобретение 1</w:t>
      </w:r>
      <w:r w:rsidR="00DB15BF" w:rsidRPr="00202DCB">
        <w:rPr>
          <w:sz w:val="26"/>
        </w:rPr>
        <w:t>30</w:t>
      </w:r>
      <w:r w:rsidRPr="00202DCB">
        <w:rPr>
          <w:sz w:val="26"/>
        </w:rPr>
        <w:t xml:space="preserve"> жилых помещений</w:t>
      </w:r>
      <w:r w:rsidR="00787FC6" w:rsidRPr="00202DCB">
        <w:rPr>
          <w:sz w:val="26"/>
        </w:rPr>
        <w:t xml:space="preserve">, </w:t>
      </w:r>
      <w:r w:rsidRPr="00202DCB">
        <w:rPr>
          <w:sz w:val="26"/>
        </w:rPr>
        <w:t>;</w:t>
      </w:r>
    </w:p>
    <w:p w:rsidR="00D112AE" w:rsidRPr="00202DCB" w:rsidRDefault="00622A26">
      <w:pPr>
        <w:tabs>
          <w:tab w:val="left" w:pos="0"/>
          <w:tab w:val="left" w:pos="709"/>
        </w:tabs>
        <w:jc w:val="both"/>
        <w:rPr>
          <w:sz w:val="26"/>
        </w:rPr>
      </w:pPr>
      <w:r w:rsidRPr="00202DCB">
        <w:rPr>
          <w:sz w:val="26"/>
        </w:rPr>
        <w:t xml:space="preserve">- улучшили жилищные условия </w:t>
      </w:r>
      <w:r w:rsidR="000748BC" w:rsidRPr="00202DCB">
        <w:rPr>
          <w:sz w:val="26"/>
        </w:rPr>
        <w:t>340</w:t>
      </w:r>
      <w:r w:rsidR="00DB15BF" w:rsidRPr="00202DCB">
        <w:rPr>
          <w:sz w:val="26"/>
        </w:rPr>
        <w:t xml:space="preserve"> семей</w:t>
      </w:r>
      <w:r w:rsidRPr="00202DCB">
        <w:rPr>
          <w:sz w:val="26"/>
        </w:rPr>
        <w:t xml:space="preserve">, демонтировано </w:t>
      </w:r>
      <w:r w:rsidR="000748BC" w:rsidRPr="00202DCB">
        <w:rPr>
          <w:sz w:val="26"/>
        </w:rPr>
        <w:t>1</w:t>
      </w:r>
      <w:r w:rsidRPr="00202DCB">
        <w:rPr>
          <w:sz w:val="26"/>
        </w:rPr>
        <w:t xml:space="preserve">2 </w:t>
      </w:r>
      <w:r w:rsidR="00DB15BF" w:rsidRPr="00202DCB">
        <w:rPr>
          <w:sz w:val="26"/>
        </w:rPr>
        <w:t xml:space="preserve">многоквартирных </w:t>
      </w:r>
      <w:r w:rsidR="000748BC" w:rsidRPr="00202DCB">
        <w:rPr>
          <w:sz w:val="26"/>
        </w:rPr>
        <w:t>домов</w:t>
      </w:r>
      <w:r w:rsidRPr="00202DCB">
        <w:rPr>
          <w:sz w:val="26"/>
        </w:rPr>
        <w:t xml:space="preserve">; </w:t>
      </w:r>
    </w:p>
    <w:p w:rsidR="00D112AE" w:rsidRPr="00202DCB" w:rsidRDefault="00622A26">
      <w:pPr>
        <w:tabs>
          <w:tab w:val="left" w:pos="0"/>
          <w:tab w:val="left" w:pos="709"/>
        </w:tabs>
        <w:jc w:val="both"/>
        <w:rPr>
          <w:sz w:val="26"/>
        </w:rPr>
      </w:pPr>
      <w:r w:rsidRPr="00202DCB">
        <w:rPr>
          <w:sz w:val="26"/>
        </w:rPr>
        <w:t xml:space="preserve">- выданы гарантийные письма </w:t>
      </w:r>
      <w:r w:rsidR="000748BC" w:rsidRPr="00202DCB">
        <w:rPr>
          <w:sz w:val="26"/>
        </w:rPr>
        <w:t>73</w:t>
      </w:r>
      <w:r w:rsidRPr="00202DCB">
        <w:rPr>
          <w:sz w:val="26"/>
        </w:rPr>
        <w:t xml:space="preserve"> семьям для приобретения жилья.</w:t>
      </w:r>
      <w:r w:rsidR="000748BC" w:rsidRPr="00202DCB">
        <w:rPr>
          <w:sz w:val="26"/>
        </w:rPr>
        <w:t xml:space="preserve"> Реализовали право на оплату 71 семья.</w:t>
      </w:r>
    </w:p>
    <w:p w:rsidR="00D112AE" w:rsidRPr="00202DCB" w:rsidRDefault="00622A26">
      <w:pPr>
        <w:tabs>
          <w:tab w:val="left" w:pos="0"/>
          <w:tab w:val="left" w:pos="709"/>
        </w:tabs>
        <w:jc w:val="both"/>
        <w:rPr>
          <w:sz w:val="26"/>
        </w:rPr>
      </w:pPr>
      <w:r w:rsidRPr="00202DCB">
        <w:rPr>
          <w:sz w:val="26"/>
        </w:rPr>
        <w:tab/>
        <w:t>Городской жилищный фонд обслуживают 6 товариществ собственников жилья (21,5% жилфонда) и 9 управл</w:t>
      </w:r>
      <w:r w:rsidR="006E4646" w:rsidRPr="00202DCB">
        <w:rPr>
          <w:sz w:val="26"/>
        </w:rPr>
        <w:t>яющих компаний (45,7% жилфонда).</w:t>
      </w:r>
    </w:p>
    <w:p w:rsidR="00D112AE" w:rsidRPr="00202DCB" w:rsidRDefault="00622A26">
      <w:pPr>
        <w:pStyle w:val="a3"/>
        <w:tabs>
          <w:tab w:val="left" w:pos="720"/>
        </w:tabs>
        <w:rPr>
          <w:sz w:val="26"/>
        </w:rPr>
      </w:pPr>
      <w:r w:rsidRPr="00202DCB">
        <w:rPr>
          <w:sz w:val="26"/>
        </w:rPr>
        <w:tab/>
        <w:t xml:space="preserve">Городской коммунальный комплекс представлен </w:t>
      </w:r>
      <w:r w:rsidR="006E4646" w:rsidRPr="00202DCB">
        <w:rPr>
          <w:sz w:val="26"/>
        </w:rPr>
        <w:t>6</w:t>
      </w:r>
      <w:r w:rsidRPr="00202DCB">
        <w:rPr>
          <w:sz w:val="26"/>
        </w:rPr>
        <w:t xml:space="preserve"> предприятиями: предоставление услуг населению по электроэнергии осуществляет ОА «Газпром энергосбыт Тюмень», ОАО «ЮТЭК-Пыть-Ях»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«ГазпромМежрегионгазСевер». Услуги по тепло-, водоснабжению и водоотведению в девяти микрорайонах города оказывает МУП «УГХ», в микрорайоне №7 «Газовиков» оказывает «Южно-Балыкский ГПЗ» - филиал АО «СибурТюменьГаз» путем </w:t>
      </w:r>
      <w:r w:rsidRPr="00202DCB">
        <w:rPr>
          <w:sz w:val="26"/>
        </w:rPr>
        <w:lastRenderedPageBreak/>
        <w:t xml:space="preserve">перепродажи коммунального ресурса в ТСЖ «Факел». </w:t>
      </w:r>
      <w:r w:rsidR="006E4646" w:rsidRPr="00202DCB">
        <w:rPr>
          <w:sz w:val="26"/>
        </w:rPr>
        <w:t>АО «Югра – экология» обеспечивает сбор и вывоз мусора.</w:t>
      </w:r>
    </w:p>
    <w:p w:rsidR="00D112AE" w:rsidRPr="00202DCB" w:rsidRDefault="00622A26">
      <w:pPr>
        <w:pStyle w:val="a3"/>
        <w:tabs>
          <w:tab w:val="left" w:pos="720"/>
        </w:tabs>
        <w:rPr>
          <w:sz w:val="26"/>
        </w:rPr>
      </w:pPr>
      <w:r w:rsidRPr="00202DCB">
        <w:rPr>
          <w:sz w:val="26"/>
        </w:rPr>
        <w:tab/>
        <w:t>В части организации транспортировки и утилизации твердых коммунальных отходов на территории муниципального образования осуществляет свою деятельность региональный оператор АО «Югра-Экология». По городу Пыть-Ях региональным оператором было сформировано 5 лотов, по 4 лотам транспортировщиком является ООО «Пыть-ЯхАвтоСервисЦентр» (детские сады, школы, учреждения и организации города, МКД и ИЖС) и по 1 лоту транспортировщик ООО «Гранит» (частично 1 и 5 микрорайонах города).</w:t>
      </w:r>
    </w:p>
    <w:p w:rsidR="00D112AE" w:rsidRPr="00202DCB" w:rsidRDefault="00622A26">
      <w:pPr>
        <w:ind w:firstLine="708"/>
        <w:jc w:val="both"/>
        <w:rPr>
          <w:sz w:val="26"/>
        </w:rPr>
      </w:pPr>
      <w:r w:rsidRPr="00202DCB">
        <w:rPr>
          <w:sz w:val="26"/>
        </w:rPr>
        <w:t xml:space="preserve">В отчетном периоде общая дебиторская задолженность за предоставленные коммунальные услуги перед МУП «УГХ» составила </w:t>
      </w:r>
      <w:r w:rsidR="005D5A77" w:rsidRPr="00202DCB">
        <w:rPr>
          <w:sz w:val="26"/>
        </w:rPr>
        <w:t>500,6</w:t>
      </w:r>
      <w:r w:rsidRPr="00202DCB">
        <w:rPr>
          <w:sz w:val="26"/>
        </w:rPr>
        <w:t xml:space="preserve"> млн. рублей.</w:t>
      </w:r>
    </w:p>
    <w:p w:rsidR="00D112AE" w:rsidRPr="00202DCB" w:rsidRDefault="00622A26">
      <w:pPr>
        <w:ind w:firstLine="708"/>
        <w:jc w:val="both"/>
        <w:rPr>
          <w:sz w:val="26"/>
        </w:rPr>
      </w:pPr>
      <w:r w:rsidRPr="00202DCB">
        <w:rPr>
          <w:sz w:val="26"/>
        </w:rPr>
        <w:t>Инфраструктура коммунального комплекса города состоит из:</w:t>
      </w:r>
    </w:p>
    <w:p w:rsidR="00D112AE" w:rsidRPr="00202DCB" w:rsidRDefault="00622A26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6"/>
        </w:rPr>
      </w:pPr>
      <w:r w:rsidRPr="00202DCB">
        <w:rPr>
          <w:sz w:val="26"/>
        </w:rPr>
        <w:t xml:space="preserve">8 котельных, суммарной мощностью 278,92 Гкал/час; </w:t>
      </w:r>
    </w:p>
    <w:p w:rsidR="00D112AE" w:rsidRPr="00202DCB" w:rsidRDefault="00622A26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6"/>
        </w:rPr>
      </w:pPr>
      <w:r w:rsidRPr="00202DCB">
        <w:rPr>
          <w:sz w:val="26"/>
        </w:rPr>
        <w:t>100,8 км сетей водоснабжения;</w:t>
      </w:r>
    </w:p>
    <w:p w:rsidR="00D112AE" w:rsidRPr="00202DCB" w:rsidRDefault="00622A26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sz w:val="26"/>
        </w:rPr>
      </w:pPr>
      <w:r w:rsidRPr="00202DCB">
        <w:rPr>
          <w:sz w:val="26"/>
        </w:rPr>
        <w:t>5 канализационных очистных сооружений (КОС).</w:t>
      </w:r>
    </w:p>
    <w:p w:rsidR="001E2399" w:rsidRPr="00202DCB" w:rsidRDefault="001E2399" w:rsidP="001E2399">
      <w:pPr>
        <w:ind w:firstLine="708"/>
        <w:jc w:val="both"/>
        <w:rPr>
          <w:sz w:val="26"/>
          <w:szCs w:val="26"/>
        </w:rPr>
      </w:pPr>
      <w:r w:rsidRPr="00202DCB">
        <w:rPr>
          <w:sz w:val="26"/>
          <w:szCs w:val="26"/>
        </w:rPr>
        <w:t>Для обеспечения жителей города бесперебойным теплоснабжением в случае возникновения нештатных ситуаций, на котельных города предусмотрено аварийный запас топлива - сырая нефть общим объемом 0,724 т. На 4 газомазутных котельных МУП «УГХ» г. Пыть-Ях имеются сооружения резервного топливного хозяйства – комплекс оборудования и устройств, предназначенных для хранения, подачи и использования резервного топлива. В случае возникновения аварийной ситуации поставка нефти будет осуществляться автомобильным транспортом на основании существующего договора № 2140219/1994Д от 31.12.2019г. между МУП «УГХ» и ООО «РН-Юганскнефтегаз.</w:t>
      </w:r>
    </w:p>
    <w:p w:rsidR="001E2399" w:rsidRPr="00202DCB" w:rsidRDefault="001E2399" w:rsidP="001E2399">
      <w:pPr>
        <w:ind w:firstLine="720"/>
        <w:jc w:val="both"/>
        <w:rPr>
          <w:sz w:val="26"/>
          <w:szCs w:val="26"/>
        </w:rPr>
      </w:pPr>
      <w:r w:rsidRPr="00202DCB">
        <w:rPr>
          <w:sz w:val="26"/>
          <w:szCs w:val="26"/>
        </w:rPr>
        <w:t>В городе сформировано 15 аварийных бригад, укомплектованных необходимыми материалами и оборудованием, привлечено 23 единицы спецтехники. Для отработки различных аварийных ситуаций предприятиями ЖКХ утвержден график совместных противоаварийных тренировок.</w:t>
      </w:r>
    </w:p>
    <w:p w:rsidR="00D112AE" w:rsidRPr="00202DCB" w:rsidRDefault="00622A26">
      <w:pPr>
        <w:pStyle w:val="a3"/>
        <w:tabs>
          <w:tab w:val="left" w:pos="4140"/>
        </w:tabs>
        <w:ind w:firstLine="709"/>
        <w:rPr>
          <w:sz w:val="26"/>
        </w:rPr>
      </w:pPr>
      <w:r w:rsidRPr="00202DCB">
        <w:rPr>
          <w:sz w:val="26"/>
        </w:rPr>
        <w:t>В рамках реализации мероприятий, направленных на энергосбережение в муниципальных учреждениях заключен</w:t>
      </w:r>
      <w:r w:rsidR="005D5A77" w:rsidRPr="00202DCB">
        <w:rPr>
          <w:sz w:val="26"/>
        </w:rPr>
        <w:t>о 5</w:t>
      </w:r>
      <w:r w:rsidRPr="00202DCB">
        <w:rPr>
          <w:sz w:val="26"/>
        </w:rPr>
        <w:t xml:space="preserve"> энергосервисных к</w:t>
      </w:r>
      <w:r w:rsidR="005D5A77" w:rsidRPr="00202DCB">
        <w:rPr>
          <w:sz w:val="26"/>
        </w:rPr>
        <w:t>онтрактов (</w:t>
      </w:r>
      <w:r w:rsidRPr="00202DCB">
        <w:rPr>
          <w:sz w:val="26"/>
        </w:rPr>
        <w:t xml:space="preserve">МДОАУ «Аленький цветочек», МДОАУ «Ёлочка», МДОАУ «Фантазия», </w:t>
      </w:r>
      <w:r w:rsidR="005D5A77" w:rsidRPr="00202DCB">
        <w:rPr>
          <w:sz w:val="26"/>
        </w:rPr>
        <w:t>МДОАУ «Улыбка», МДОАУ «Белочка»).</w:t>
      </w:r>
      <w:r w:rsidRPr="00202DCB">
        <w:rPr>
          <w:sz w:val="26"/>
        </w:rPr>
        <w:t xml:space="preserve"> </w:t>
      </w:r>
    </w:p>
    <w:p w:rsidR="00D112AE" w:rsidRPr="00202DCB" w:rsidRDefault="00622A26">
      <w:pPr>
        <w:pStyle w:val="a3"/>
        <w:ind w:firstLine="709"/>
        <w:rPr>
          <w:sz w:val="26"/>
        </w:rPr>
      </w:pPr>
      <w:r w:rsidRPr="00202DCB">
        <w:rPr>
          <w:sz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</w:t>
      </w:r>
      <w:r w:rsidR="00683455" w:rsidRPr="00202DCB">
        <w:rPr>
          <w:sz w:val="26"/>
        </w:rPr>
        <w:t>города</w:t>
      </w:r>
      <w:r w:rsidRPr="00202DCB">
        <w:rPr>
          <w:sz w:val="26"/>
        </w:rPr>
        <w:t xml:space="preserve"> реализуется ряд мероприятий в рамках муниципальных программ. 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«Жилищно-коммунальный комплекс и городская среда города Пыть-Яха».</w:t>
      </w:r>
    </w:p>
    <w:p w:rsidR="00D112AE" w:rsidRPr="00202DCB" w:rsidRDefault="00622A26" w:rsidP="0018053A">
      <w:pPr>
        <w:ind w:firstLine="708"/>
        <w:jc w:val="both"/>
        <w:rPr>
          <w:bCs/>
          <w:sz w:val="26"/>
          <w:szCs w:val="26"/>
        </w:rPr>
      </w:pPr>
      <w:bookmarkStart w:id="64" w:name="_Toc528078035"/>
      <w:r w:rsidRPr="00202DCB">
        <w:rPr>
          <w:sz w:val="26"/>
        </w:rPr>
        <w:t xml:space="preserve">В рамках подпрограммы 1 «Создание условий для обеспечения качественными коммунальными услугами» реализуются мероприятия по реконструкции ВОС-1 (2 очередь) и ВОС-3. По объекту «Реконструкции ВОС-3» 30.09.2019 года заключен муниципальный контракт №0178300019419000117 на выполнение строительно-монтажных работ с ООО «Универсал СК». Срок выполнения работ </w:t>
      </w:r>
      <w:r w:rsidR="005D5A77" w:rsidRPr="00202DCB">
        <w:rPr>
          <w:sz w:val="26"/>
        </w:rPr>
        <w:t>до 01.07.2021 года</w:t>
      </w:r>
      <w:r w:rsidRPr="00202DCB">
        <w:rPr>
          <w:sz w:val="26"/>
        </w:rPr>
        <w:t xml:space="preserve">. В настоящее время в рамках муниципального контракта завершены работы подготовительного характера.  Произведены работы по частичной планировке </w:t>
      </w:r>
      <w:r w:rsidRPr="00202DCB">
        <w:rPr>
          <w:sz w:val="26"/>
        </w:rPr>
        <w:lastRenderedPageBreak/>
        <w:t xml:space="preserve">территории ВОС-3. Производится закупка и поставка материалов и оборудования. Выполнено основание под резервуар чистой воды - 100%. Завершены внутриплощадочные сети - 100%. </w:t>
      </w:r>
      <w:r w:rsidR="0018053A" w:rsidRPr="00202DCB">
        <w:rPr>
          <w:bCs/>
          <w:sz w:val="26"/>
          <w:szCs w:val="26"/>
        </w:rPr>
        <w:t xml:space="preserve">Выполнен монтаж КНС. Выполнен монтаж части внеплощадочных сетей тепло-, водоснабжения и канализации, ведутся работы по тепловой изоляции наружных тепловых сетей. Выполнен монтаж локальных очистных сооружений. Ведутся работы по прокладке газопровода. Выполняются работы по капитальному ремонту РЧВ V=2000м3 (антикоррозийная обработка). </w:t>
      </w:r>
    </w:p>
    <w:p w:rsidR="00D112AE" w:rsidRPr="00202DCB" w:rsidRDefault="00622A26" w:rsidP="005D5A77">
      <w:pPr>
        <w:pStyle w:val="a3"/>
        <w:ind w:firstLine="709"/>
        <w:rPr>
          <w:bCs/>
          <w:sz w:val="26"/>
          <w:szCs w:val="26"/>
        </w:rPr>
      </w:pPr>
      <w:r w:rsidRPr="00202DCB">
        <w:rPr>
          <w:sz w:val="26"/>
        </w:rPr>
        <w:t xml:space="preserve">По объекту «Реконструкция ВОС – 1 (2очередь)» </w:t>
      </w:r>
      <w:r w:rsidR="0018053A" w:rsidRPr="00202DCB">
        <w:rPr>
          <w:bCs/>
          <w:sz w:val="26"/>
          <w:szCs w:val="26"/>
        </w:rPr>
        <w:t>ведутся работы по реконструкции объекта, в соответствии с заключенным муниципальным контрактом №</w:t>
      </w:r>
      <w:r w:rsidR="0018053A" w:rsidRPr="00202DCB">
        <w:rPr>
          <w:sz w:val="24"/>
          <w:szCs w:val="24"/>
        </w:rPr>
        <w:t xml:space="preserve"> </w:t>
      </w:r>
      <w:r w:rsidR="0018053A" w:rsidRPr="00202DCB">
        <w:rPr>
          <w:bCs/>
          <w:sz w:val="26"/>
          <w:szCs w:val="26"/>
        </w:rPr>
        <w:t>0187200001720000691 с ООО «Атомстройпроект». Работы ведутся с отставанием от графика. По состоянию на отчетную дату размещена камера видеонаблюдения за ходом строительства. Выполнены работы подготовительного периода, предусмотренные проектом организации строительства. Заключен договор на изготовление и поставку металлоконструкций. Станция очистки воды 1500м3/сут: произведено устройство котлована 100% (</w:t>
      </w:r>
      <w:smartTag w:uri="urn:schemas-microsoft-com:office:smarttags" w:element="metricconverter">
        <w:smartTagPr>
          <w:attr w:name="ProductID" w:val="1220 м3"/>
        </w:smartTagPr>
        <w:r w:rsidR="0018053A" w:rsidRPr="00202DCB">
          <w:rPr>
            <w:bCs/>
            <w:sz w:val="26"/>
            <w:szCs w:val="26"/>
          </w:rPr>
          <w:t>1220 м3</w:t>
        </w:r>
      </w:smartTag>
      <w:r w:rsidR="0018053A" w:rsidRPr="00202DCB">
        <w:rPr>
          <w:bCs/>
          <w:sz w:val="26"/>
          <w:szCs w:val="26"/>
        </w:rPr>
        <w:t xml:space="preserve">), забиты железобетонные сваи в объеме 100% (88 шт., в том числе 24 шт. С50-40-6 и 64 шт. С40-30-3), выполнена обратная засыпка котлована песком, выполнены работы по срубке свай в проектные отметки, ведутся работы по устройству фундаментов, производится демонтаж емкости </w:t>
      </w:r>
      <w:smartTag w:uri="urn:schemas-microsoft-com:office:smarttags" w:element="metricconverter">
        <w:smartTagPr>
          <w:attr w:name="ProductID" w:val="200 м3"/>
        </w:smartTagPr>
        <w:r w:rsidR="0018053A" w:rsidRPr="00202DCB">
          <w:rPr>
            <w:bCs/>
            <w:sz w:val="26"/>
            <w:szCs w:val="26"/>
          </w:rPr>
          <w:t>200 м3</w:t>
        </w:r>
      </w:smartTag>
      <w:r w:rsidR="0018053A" w:rsidRPr="00202DCB">
        <w:rPr>
          <w:bCs/>
          <w:sz w:val="26"/>
          <w:szCs w:val="26"/>
        </w:rPr>
        <w:t xml:space="preserve">. </w:t>
      </w:r>
      <w:r w:rsidR="005D5A77" w:rsidRPr="00202DCB">
        <w:rPr>
          <w:bCs/>
          <w:sz w:val="26"/>
          <w:szCs w:val="26"/>
        </w:rPr>
        <w:t>Доведенные лимиты на 2020 год не освоены в полном объеме. Направлено письмо в адрес Департамента ЖКК и энергетики ХМАО-Югры № 14-исх-УД-9908 от 30.12.2020 о восстановлении неосвоенной суммы в размере 25 875,3 тыс.рублей в 2021 году. Срок выполнения работ по контракту 28.02.2021.</w:t>
      </w:r>
    </w:p>
    <w:p w:rsidR="005D5A77" w:rsidRPr="00202DCB" w:rsidRDefault="00622A2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sz w:val="26"/>
        </w:rPr>
        <w:t xml:space="preserve">По объекту «Строительство КНС в мкр. № 6 «Пионерный» в г.Пыть-Ях» </w:t>
      </w:r>
      <w:r w:rsidR="0018053A" w:rsidRPr="00202DCB">
        <w:rPr>
          <w:bCs/>
          <w:sz w:val="26"/>
          <w:szCs w:val="26"/>
        </w:rPr>
        <w:t xml:space="preserve">оформлено разрешение на строительство № 86-ru86308000-7-2020 от 19.03.2020. Заключен муниципальный контракт   № 0187200001720000737 от 31.07.2020 с ООО "РИА-Инжиниринг" на выполнение работ по строительству объекта. 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Выполнены работы: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 Устройство котлована под напорную канализацию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-Прокладка труб канализации ГНБ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-Завезен корпус канализационной станции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-Водопонижение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-Разработка котлована под КНС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-Монтаж колодцев КН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-Устройство основания под КНС (песок, щебень, армокаркас, бетон)</w:t>
      </w:r>
    </w:p>
    <w:p w:rsidR="006E4646" w:rsidRPr="00202DCB" w:rsidRDefault="006E4646" w:rsidP="006E4646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-Монтаж КНС.</w:t>
      </w:r>
    </w:p>
    <w:p w:rsidR="006E4646" w:rsidRPr="00202DCB" w:rsidRDefault="006E4646" w:rsidP="005D5A77">
      <w:pPr>
        <w:ind w:firstLine="708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Лимиты 2020 года освоены не в полном о</w:t>
      </w:r>
      <w:r w:rsidR="005D5A77" w:rsidRPr="00202DCB">
        <w:rPr>
          <w:bCs/>
          <w:sz w:val="26"/>
          <w:szCs w:val="26"/>
        </w:rPr>
        <w:t xml:space="preserve">бъеме. В вышеуказанном письме в </w:t>
      </w:r>
      <w:r w:rsidRPr="00202DCB">
        <w:rPr>
          <w:bCs/>
          <w:sz w:val="26"/>
          <w:szCs w:val="26"/>
        </w:rPr>
        <w:t>адрес Департамента ЖКК и энергетики указа</w:t>
      </w:r>
      <w:r w:rsidR="005D5A77" w:rsidRPr="00202DCB">
        <w:rPr>
          <w:bCs/>
          <w:sz w:val="26"/>
          <w:szCs w:val="26"/>
        </w:rPr>
        <w:t xml:space="preserve">на также сумма о восстановлении </w:t>
      </w:r>
      <w:r w:rsidRPr="00202DCB">
        <w:rPr>
          <w:bCs/>
          <w:sz w:val="26"/>
          <w:szCs w:val="26"/>
        </w:rPr>
        <w:t>неосвоенных бюджетных средств в 2021 год</w:t>
      </w:r>
      <w:r w:rsidR="005D5A77" w:rsidRPr="00202DCB">
        <w:rPr>
          <w:bCs/>
          <w:sz w:val="26"/>
          <w:szCs w:val="26"/>
        </w:rPr>
        <w:t xml:space="preserve">у и в отношении данного объекта строительства. </w:t>
      </w:r>
      <w:r w:rsidRPr="00202DCB">
        <w:rPr>
          <w:bCs/>
          <w:sz w:val="26"/>
          <w:szCs w:val="26"/>
        </w:rPr>
        <w:t>Ориентировочный срок завершения работ – февраль 2021</w:t>
      </w:r>
    </w:p>
    <w:p w:rsidR="008E2C4A" w:rsidRDefault="00622A26">
      <w:pPr>
        <w:pStyle w:val="a3"/>
        <w:ind w:firstLine="709"/>
        <w:rPr>
          <w:sz w:val="26"/>
          <w:szCs w:val="26"/>
        </w:rPr>
      </w:pPr>
      <w:r w:rsidRPr="00202DCB">
        <w:rPr>
          <w:sz w:val="26"/>
        </w:rPr>
        <w:t>В рамках реализации федерального проекта «Формирование комфортной городской среды», на территории города Пыть-Яха в 2020 году запланированы мероприятия по благоустройству одной общественной территории «Скейт парк» во 2 «А» микрорайоне «Лесников» (распоряжение администра</w:t>
      </w:r>
      <w:r w:rsidR="008E2C4A" w:rsidRPr="00202DCB">
        <w:rPr>
          <w:sz w:val="26"/>
        </w:rPr>
        <w:t xml:space="preserve">ции №435-ра от 25.02.2020 г.). </w:t>
      </w:r>
      <w:r w:rsidR="008E2C4A" w:rsidRPr="00202DCB">
        <w:rPr>
          <w:sz w:val="26"/>
          <w:szCs w:val="26"/>
        </w:rPr>
        <w:t>10 сентября 2020 года состоялось торжественное открытие скейт-парка, с участием Главного Федерального инспектора по ХМАО-Югре - Постникова Александра Григорьевича, представителей ДепЖКК и энергетики ХМАО-Югры.</w:t>
      </w:r>
    </w:p>
    <w:p w:rsidR="0038020C" w:rsidRPr="00890848" w:rsidRDefault="0038020C" w:rsidP="00890848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 xml:space="preserve">В год 75-летия Победы в </w:t>
      </w:r>
      <w:r w:rsidRPr="00202DCB">
        <w:rPr>
          <w:sz w:val="26"/>
          <w:szCs w:val="26"/>
        </w:rPr>
        <w:t>мемориальн</w:t>
      </w:r>
      <w:r>
        <w:rPr>
          <w:sz w:val="26"/>
          <w:szCs w:val="26"/>
        </w:rPr>
        <w:t>ом</w:t>
      </w:r>
      <w:r w:rsidRPr="00202DCB">
        <w:rPr>
          <w:sz w:val="26"/>
          <w:szCs w:val="26"/>
        </w:rPr>
        <w:t xml:space="preserve"> комплекс</w:t>
      </w:r>
      <w:r>
        <w:rPr>
          <w:sz w:val="26"/>
          <w:szCs w:val="26"/>
        </w:rPr>
        <w:t>е</w:t>
      </w:r>
      <w:r w:rsidRPr="00202DCB">
        <w:rPr>
          <w:sz w:val="26"/>
          <w:szCs w:val="26"/>
        </w:rPr>
        <w:t xml:space="preserve"> - Монумент Славы и Ве</w:t>
      </w:r>
      <w:r>
        <w:rPr>
          <w:sz w:val="26"/>
          <w:szCs w:val="26"/>
        </w:rPr>
        <w:t>чного огня в 5 мкр. "Солнечный"</w:t>
      </w:r>
      <w:r w:rsidRPr="00202DCB">
        <w:rPr>
          <w:sz w:val="26"/>
          <w:szCs w:val="26"/>
        </w:rPr>
        <w:t xml:space="preserve"> установлено авторское художественное </w:t>
      </w:r>
      <w:r w:rsidRPr="00202DCB">
        <w:rPr>
          <w:sz w:val="26"/>
          <w:szCs w:val="26"/>
        </w:rPr>
        <w:lastRenderedPageBreak/>
        <w:t>произведение монументально-декоратив</w:t>
      </w:r>
      <w:r>
        <w:rPr>
          <w:sz w:val="26"/>
          <w:szCs w:val="26"/>
        </w:rPr>
        <w:t>ная скульптура «Солдат Победы». Высота бронзовой фигуры 4 метра.</w:t>
      </w:r>
      <w:r w:rsidR="00890848">
        <w:rPr>
          <w:sz w:val="26"/>
          <w:szCs w:val="26"/>
        </w:rPr>
        <w:t xml:space="preserve">  Сумма по контракту составила 27 956,5 тыс.руб. средства </w:t>
      </w:r>
      <w:r w:rsidR="00890848" w:rsidRPr="00890848">
        <w:rPr>
          <w:color w:val="000000"/>
          <w:sz w:val="26"/>
          <w:szCs w:val="26"/>
          <w:shd w:val="clear" w:color="auto" w:fill="FFFFFF"/>
          <w:lang w:eastAsia="en-US"/>
        </w:rPr>
        <w:t>ООО «РН-Юганскнефтегаз»</w:t>
      </w:r>
      <w:r w:rsidR="00890848">
        <w:rPr>
          <w:color w:val="000000"/>
          <w:sz w:val="26"/>
          <w:szCs w:val="26"/>
          <w:shd w:val="clear" w:color="auto" w:fill="FFFFFF"/>
          <w:lang w:eastAsia="en-US"/>
        </w:rPr>
        <w:t>.</w:t>
      </w:r>
      <w:bookmarkStart w:id="65" w:name="_GoBack"/>
      <w:bookmarkEnd w:id="65"/>
    </w:p>
    <w:p w:rsidR="008E2C4A" w:rsidRPr="00202DCB" w:rsidRDefault="008E2C4A" w:rsidP="008E2C4A">
      <w:pPr>
        <w:ind w:firstLine="709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Завершены работы в полном объеме по муниципальным контрактам:</w:t>
      </w:r>
    </w:p>
    <w:p w:rsidR="008E2C4A" w:rsidRPr="00202DCB" w:rsidRDefault="008E2C4A" w:rsidP="008E2C4A">
      <w:pPr>
        <w:ind w:firstLine="709"/>
        <w:jc w:val="both"/>
        <w:rPr>
          <w:bCs/>
          <w:sz w:val="26"/>
          <w:szCs w:val="26"/>
        </w:rPr>
      </w:pPr>
      <w:r w:rsidRPr="00202DCB">
        <w:rPr>
          <w:bCs/>
          <w:sz w:val="26"/>
          <w:szCs w:val="26"/>
        </w:rPr>
        <w:t>- № 0187300019419000164 от 20.12.2019г. на сумму 6 261,8 тыс.руб. с ООО "Городострой" (г. Нефтеюганск) на выполнение работ по благоустройству дворовых территорий 2-31,5-16,5-21 (асфальтирование внутриквартальных проездов устройство тротуаров, установка урн и скамеек);</w:t>
      </w:r>
    </w:p>
    <w:p w:rsidR="008E2C4A" w:rsidRPr="00202DCB" w:rsidRDefault="008E2C4A" w:rsidP="008E2C4A">
      <w:pPr>
        <w:ind w:firstLine="709"/>
        <w:jc w:val="both"/>
        <w:rPr>
          <w:sz w:val="26"/>
          <w:szCs w:val="26"/>
        </w:rPr>
      </w:pPr>
      <w:r w:rsidRPr="00202DCB">
        <w:rPr>
          <w:sz w:val="26"/>
          <w:szCs w:val="26"/>
        </w:rPr>
        <w:t>- №0187300019420000017 от 07.04.2020 на сумму 3 435,1 тыс.руб. с ООО «Строительная компания «Ермак» (г. Пермь), на выполнение работ по благоустройству (монтаж электроосвещения на детских площадках 1-20; 2-1,2; 2-3,4,5; 2-8,9)</w:t>
      </w:r>
    </w:p>
    <w:p w:rsidR="00D112AE" w:rsidRPr="00202DCB" w:rsidRDefault="008E2C4A" w:rsidP="0038020C">
      <w:pPr>
        <w:ind w:firstLine="709"/>
        <w:jc w:val="both"/>
        <w:rPr>
          <w:sz w:val="26"/>
          <w:szCs w:val="26"/>
        </w:rPr>
      </w:pPr>
      <w:r w:rsidRPr="00202DCB">
        <w:rPr>
          <w:sz w:val="26"/>
          <w:szCs w:val="26"/>
        </w:rPr>
        <w:t>- договор с «ИП Жукова» на сумму 598,1 тыс.руб. на выполнение работ по благоустройству дворовой территории 2-7 (устройство тротуара).</w:t>
      </w:r>
      <w:r w:rsidR="0038020C" w:rsidRPr="0038020C">
        <w:rPr>
          <w:sz w:val="26"/>
          <w:szCs w:val="26"/>
        </w:rPr>
        <w:t xml:space="preserve"> </w:t>
      </w:r>
    </w:p>
    <w:p w:rsidR="00216CD1" w:rsidRPr="00202DCB" w:rsidRDefault="00216CD1" w:rsidP="00216CD1">
      <w:pPr>
        <w:ind w:firstLine="709"/>
        <w:jc w:val="both"/>
        <w:rPr>
          <w:sz w:val="26"/>
          <w:szCs w:val="26"/>
        </w:rPr>
      </w:pPr>
      <w:r w:rsidRPr="00202DCB">
        <w:rPr>
          <w:sz w:val="26"/>
          <w:szCs w:val="26"/>
        </w:rPr>
        <w:t xml:space="preserve">В рамках муниципальной программы «Содержание городских территорий, озеленение и благоустройство» реализованы проекты инициативного бюджетирования "Твоя инициатива - Твой бюджет" на объектах: </w:t>
      </w:r>
    </w:p>
    <w:p w:rsidR="00216CD1" w:rsidRPr="00202DCB" w:rsidRDefault="00890848" w:rsidP="00216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16CD1" w:rsidRPr="00202DCB">
        <w:rPr>
          <w:sz w:val="26"/>
          <w:szCs w:val="26"/>
        </w:rPr>
        <w:t xml:space="preserve">) </w:t>
      </w:r>
      <w:r w:rsidR="002E1868" w:rsidRPr="00202DCB">
        <w:rPr>
          <w:sz w:val="26"/>
          <w:szCs w:val="26"/>
        </w:rPr>
        <w:t>п</w:t>
      </w:r>
      <w:r w:rsidR="00216CD1" w:rsidRPr="00202DCB">
        <w:rPr>
          <w:sz w:val="26"/>
          <w:szCs w:val="26"/>
        </w:rPr>
        <w:t>ривокзальная площадь: установлено художественное произведение монументально-декоративная скульптура «Мамонтенок», в честь 30-летнего юбилея со Дня образования города Пыть-Яха;</w:t>
      </w:r>
    </w:p>
    <w:p w:rsidR="00216CD1" w:rsidRPr="00C243EA" w:rsidRDefault="00890848" w:rsidP="00216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16CD1" w:rsidRPr="00202DCB">
        <w:rPr>
          <w:sz w:val="26"/>
          <w:szCs w:val="26"/>
        </w:rPr>
        <w:t>) городская площадь «Мира»: создана единая и уникальная тематическая парковая зона для детей, жителей и гостей города, путем строительства топиарного парка «Ноев ковчег».</w:t>
      </w:r>
    </w:p>
    <w:p w:rsidR="00D112AE" w:rsidRPr="00C243EA" w:rsidRDefault="00D112AE"/>
    <w:p w:rsidR="00D112AE" w:rsidRPr="00C243EA" w:rsidRDefault="00D112AE"/>
    <w:p w:rsidR="00D112AE" w:rsidRPr="00C243EA" w:rsidRDefault="00622A26">
      <w:pPr>
        <w:pStyle w:val="1"/>
        <w:spacing w:before="0" w:after="0"/>
        <w:ind w:left="2832"/>
        <w:jc w:val="both"/>
        <w:rPr>
          <w:rFonts w:ascii="Times New Roman" w:hAnsi="Times New Roman"/>
          <w:b w:val="0"/>
          <w:sz w:val="26"/>
        </w:rPr>
      </w:pPr>
      <w:r w:rsidRPr="00C243EA">
        <w:rPr>
          <w:rFonts w:ascii="Times New Roman" w:hAnsi="Times New Roman"/>
          <w:b w:val="0"/>
          <w:sz w:val="26"/>
        </w:rPr>
        <w:t>Малое предпринимательство</w:t>
      </w:r>
      <w:bookmarkEnd w:id="44"/>
      <w:bookmarkEnd w:id="64"/>
      <w:r w:rsidRPr="00C243EA">
        <w:rPr>
          <w:rFonts w:ascii="Times New Roman" w:hAnsi="Times New Roman"/>
          <w:b w:val="0"/>
          <w:sz w:val="26"/>
        </w:rPr>
        <w:t>.</w:t>
      </w:r>
    </w:p>
    <w:p w:rsidR="00D112AE" w:rsidRPr="00C243EA" w:rsidRDefault="00D112AE">
      <w:pPr>
        <w:jc w:val="both"/>
      </w:pP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Основным инструментом реализации государственной политики в области развития малого и среднего бизнеса в городе Пыть-Яхе является подпрограмма «Развитие малого и среднего предпринимательства» муниципальной программы «Развитие экономического потенциала города Пыть-Яха».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Численность занятых граждан в малом бизнесе составляет 5 016 человек, что составляет 23% от занятых в экономике города.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В отраслевой структуре малого и среднего предпринимательства наиболее развитым является потребительский рынок. Работают 17 ТЦ, 299 магазинов, 65 заведений оказывают услуги общественного питания, 162 предприятия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нефтесервиса.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 города Пыть-Яха» по подпрограмме «Развитие малого и среднего предпринимательства» является бюджет субъекта Российской Федерации.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В соответствии с постановлением Правительства Ханты-Мансийского автономного округа - Югры от 05.10.2018 № 336-п заключено соглашение с </w:t>
      </w:r>
      <w:r w:rsidRPr="00C243EA">
        <w:rPr>
          <w:sz w:val="26"/>
        </w:rPr>
        <w:lastRenderedPageBreak/>
        <w:t xml:space="preserve">Департаментом экономического развития ХМАО-Югры от 17.01.2020 № МСП-9 «Соглашение о предоставлении субсидии местному бюджету из бюджета Ханты-Мансийского автономного округа – Югры». Размер субсидии в 2020 году составляет 4 365,2 тыс.руб. 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5 заседаний координационного совета. 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За отчетный период в рамках подпрограммы «Развитие малого и среднего предпринимательства»: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- оказана информационно-консультационная поддержка по 86 обращениям от субъектов малого предпринимательства и физических лиц. 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- 28.02.2020г. организовано совещание по обеспечению усиленного дезинфекционног режима с юридическими лицами и индивидуальными предпринимателями, осуществляющими деятельность в сфере общественного питания и торговли продуктами и непродовольственными товарами (количество участников мероприятия - 18).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-10.03.2020г. организован «круглый стол» на тему: «Инструменты государственной поддержки субъектов малого и среднего предпринимательства в Ханты-Мансийском автономном округе – Югре» (количество участников мероприятия - 23).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- 25.08.2020 организован Круглый стол на тему: «Возможности развития бизнеса в сфере социального предпринимательства» (количество участников мероприятия - 9).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- проведены 3 деловые игры на тему "Финансовая грамотность" для учащихся общеобразовательных учреждений города Пыть-Яха (количество участников - 78).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- организована рабочая встреча на тему: «Программы поддержки субъектов малого и среднего предпринимательства, в том числе физических лиц, применяющих специальный налоговый режим»  (5участников);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- проведены 2 городских конкурса "Предприниматель года 2020", "Лучший молодой предприниматель г.Пыть-Яха", (18 участников);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>- проведен конкурс детских творческих работ "Предпринимательство сегодня" (69 участников)</w:t>
      </w:r>
    </w:p>
    <w:p w:rsidR="00D26055" w:rsidRPr="00C243EA" w:rsidRDefault="005B42F7" w:rsidP="00D26055">
      <w:pPr>
        <w:ind w:firstLine="720"/>
        <w:jc w:val="both"/>
        <w:rPr>
          <w:sz w:val="26"/>
        </w:rPr>
      </w:pPr>
      <w:r>
        <w:rPr>
          <w:sz w:val="26"/>
        </w:rPr>
        <w:t>3</w:t>
      </w:r>
      <w:r w:rsidR="00D26055" w:rsidRPr="00C243EA">
        <w:rPr>
          <w:sz w:val="26"/>
        </w:rPr>
        <w:t>) Предоставлены субсидии в общей сумме 4 208,06 тыс. рублей 31-му субъекту МСП, в том числе 20 субъектам, осуществляющим деятельность в отраслях, пострадавших от распространения новой коронавирусной инфекции на сумму 2 183,</w:t>
      </w:r>
      <w:r>
        <w:rPr>
          <w:sz w:val="26"/>
        </w:rPr>
        <w:t>9</w:t>
      </w:r>
      <w:r w:rsidR="00D26055" w:rsidRPr="00C243EA">
        <w:rPr>
          <w:sz w:val="26"/>
        </w:rPr>
        <w:t xml:space="preserve"> тыс. рублей.</w:t>
      </w:r>
    </w:p>
    <w:p w:rsidR="00D26055" w:rsidRPr="00C243EA" w:rsidRDefault="00D26055" w:rsidP="00D26055">
      <w:pPr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C243EA">
        <w:rPr>
          <w:rFonts w:eastAsia="Calibri"/>
          <w:color w:val="000000" w:themeColor="text1"/>
          <w:sz w:val="26"/>
          <w:szCs w:val="26"/>
        </w:rPr>
        <w:t>В рамках предоставления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оказана финансовая поддержка 28 субъектам МСП на сумму 3 202,</w:t>
      </w:r>
      <w:r w:rsidR="005B42F7">
        <w:rPr>
          <w:rFonts w:eastAsia="Calibri"/>
          <w:color w:val="000000" w:themeColor="text1"/>
          <w:sz w:val="26"/>
          <w:szCs w:val="26"/>
        </w:rPr>
        <w:t>8</w:t>
      </w:r>
      <w:r w:rsidRPr="00C243EA">
        <w:rPr>
          <w:rFonts w:eastAsia="Calibri"/>
          <w:color w:val="000000" w:themeColor="text1"/>
          <w:sz w:val="26"/>
          <w:szCs w:val="26"/>
        </w:rPr>
        <w:t xml:space="preserve"> руб. </w:t>
      </w:r>
    </w:p>
    <w:p w:rsidR="00D26055" w:rsidRPr="00C243EA" w:rsidRDefault="00D26055" w:rsidP="00D26055">
      <w:pPr>
        <w:ind w:firstLine="720"/>
        <w:jc w:val="both"/>
        <w:rPr>
          <w:sz w:val="26"/>
        </w:rPr>
      </w:pPr>
      <w:r w:rsidRPr="00C243EA">
        <w:rPr>
          <w:sz w:val="26"/>
        </w:rPr>
        <w:t xml:space="preserve">На отчетную дату 1 412 субъектов малого и среднего предпринимательства осуществляют свою деятельность на территории города, в том числе 371 малое и среднее предприятие и организация, а также 1 041 человек, зарегистрированный в </w:t>
      </w:r>
      <w:r w:rsidRPr="00C243EA">
        <w:rPr>
          <w:sz w:val="26"/>
        </w:rPr>
        <w:lastRenderedPageBreak/>
        <w:t>качестве предпринимателей без образования юридического лица (по данным Единого реестра субъектов малого и среднего предпринимательства).</w:t>
      </w:r>
    </w:p>
    <w:p w:rsidR="002572B1" w:rsidRPr="00C243EA" w:rsidRDefault="002572B1" w:rsidP="002572B1">
      <w:pPr>
        <w:ind w:firstLine="720"/>
        <w:jc w:val="both"/>
        <w:rPr>
          <w:sz w:val="26"/>
        </w:rPr>
      </w:pPr>
      <w:r w:rsidRPr="00C243EA">
        <w:rPr>
          <w:sz w:val="26"/>
        </w:rPr>
        <w:t>По состоянию на 01.01.2021г.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 24.07.2007 № 209-ФЗ, включено 8 объектов, в т.ч. 1 объект движимого имущества и 3 земельных участка, 4 объекта недвижимости. Кроме этого, 5 представителям малого и среднего предпринимательства предоставлено в аренду 7 объектов с предоставлением льготы -</w:t>
      </w:r>
    </w:p>
    <w:p w:rsidR="002572B1" w:rsidRPr="00C243EA" w:rsidRDefault="002572B1" w:rsidP="002572B1">
      <w:pPr>
        <w:jc w:val="both"/>
        <w:rPr>
          <w:sz w:val="26"/>
        </w:rPr>
      </w:pPr>
      <w:r w:rsidRPr="00C243EA">
        <w:rPr>
          <w:sz w:val="26"/>
        </w:rPr>
        <w:t xml:space="preserve">при расчете арендной платы применен понижающий коэффициент. </w:t>
      </w:r>
    </w:p>
    <w:p w:rsidR="00D112AE" w:rsidRDefault="00622A26" w:rsidP="005B42F7">
      <w:pPr>
        <w:ind w:firstLine="708"/>
        <w:jc w:val="both"/>
        <w:rPr>
          <w:sz w:val="26"/>
        </w:rPr>
      </w:pPr>
      <w:r w:rsidRPr="00C243EA">
        <w:rPr>
          <w:sz w:val="26"/>
        </w:rPr>
        <w:t>За 2020</w:t>
      </w:r>
      <w:r w:rsidR="00365784" w:rsidRPr="00C243EA">
        <w:rPr>
          <w:sz w:val="26"/>
        </w:rPr>
        <w:t xml:space="preserve"> год</w:t>
      </w:r>
      <w:r w:rsidRPr="00C243EA">
        <w:rPr>
          <w:sz w:val="26"/>
        </w:rPr>
        <w:t xml:space="preserve"> офисом обслуживания «Нефтеюганский» Фонда «Югорская региональная микрокредитная компания»</w:t>
      </w:r>
      <w:r w:rsidR="00365784" w:rsidRPr="00C243EA">
        <w:rPr>
          <w:sz w:val="26"/>
        </w:rPr>
        <w:t xml:space="preserve"> предоставлена финансовая поддержка в форме микрозайма 14</w:t>
      </w:r>
      <w:r w:rsidRPr="00C243EA">
        <w:rPr>
          <w:sz w:val="26"/>
        </w:rPr>
        <w:t xml:space="preserve"> субъектам малого и средне</w:t>
      </w:r>
      <w:r w:rsidR="00365784" w:rsidRPr="00C243EA">
        <w:rPr>
          <w:sz w:val="26"/>
        </w:rPr>
        <w:t xml:space="preserve">го предпринимательства </w:t>
      </w:r>
      <w:r w:rsidRPr="00C243EA">
        <w:rPr>
          <w:sz w:val="26"/>
        </w:rPr>
        <w:t xml:space="preserve">на сумму </w:t>
      </w:r>
      <w:r w:rsidR="001F6416" w:rsidRPr="00C243EA">
        <w:rPr>
          <w:sz w:val="26"/>
        </w:rPr>
        <w:t>37</w:t>
      </w:r>
      <w:r w:rsidRPr="00C243EA">
        <w:rPr>
          <w:sz w:val="26"/>
        </w:rPr>
        <w:t xml:space="preserve"> </w:t>
      </w:r>
      <w:r w:rsidR="001F6416" w:rsidRPr="00C243EA">
        <w:rPr>
          <w:sz w:val="26"/>
        </w:rPr>
        <w:t>350</w:t>
      </w:r>
      <w:r w:rsidRPr="00C243EA">
        <w:rPr>
          <w:sz w:val="26"/>
        </w:rPr>
        <w:t>,0 тыс.руб.</w:t>
      </w:r>
    </w:p>
    <w:p w:rsidR="005B42F7" w:rsidRPr="00C243EA" w:rsidRDefault="005B42F7" w:rsidP="005B42F7">
      <w:pPr>
        <w:ind w:firstLine="708"/>
        <w:jc w:val="both"/>
        <w:rPr>
          <w:sz w:val="26"/>
        </w:rPr>
      </w:pPr>
    </w:p>
    <w:p w:rsidR="00D112AE" w:rsidRPr="00C243EA" w:rsidRDefault="00622A26">
      <w:pPr>
        <w:ind w:firstLine="708"/>
        <w:jc w:val="center"/>
        <w:rPr>
          <w:sz w:val="26"/>
        </w:rPr>
      </w:pPr>
      <w:bookmarkStart w:id="66" w:name="_Toc528078039"/>
      <w:r w:rsidRPr="00C243EA">
        <w:rPr>
          <w:sz w:val="26"/>
        </w:rPr>
        <w:t>Управление и структура муниципальной собственности</w:t>
      </w:r>
      <w:bookmarkEnd w:id="66"/>
    </w:p>
    <w:p w:rsidR="00D112AE" w:rsidRPr="00C243EA" w:rsidRDefault="00D112AE">
      <w:pPr>
        <w:ind w:firstLine="708"/>
        <w:jc w:val="both"/>
        <w:rPr>
          <w:sz w:val="26"/>
        </w:rPr>
      </w:pPr>
    </w:p>
    <w:p w:rsidR="00D112AE" w:rsidRPr="00C243EA" w:rsidRDefault="001C73C1">
      <w:pPr>
        <w:ind w:firstLine="708"/>
        <w:jc w:val="both"/>
        <w:rPr>
          <w:sz w:val="26"/>
        </w:rPr>
      </w:pPr>
      <w:r w:rsidRPr="00C243EA">
        <w:rPr>
          <w:sz w:val="26"/>
        </w:rPr>
        <w:t>По состоянию на 01.</w:t>
      </w:r>
      <w:r w:rsidR="002D0B0B" w:rsidRPr="00C243EA">
        <w:rPr>
          <w:sz w:val="26"/>
        </w:rPr>
        <w:t>01</w:t>
      </w:r>
      <w:r w:rsidR="00622A26" w:rsidRPr="00C243EA">
        <w:rPr>
          <w:sz w:val="26"/>
        </w:rPr>
        <w:t>.202</w:t>
      </w:r>
      <w:r w:rsidR="002D0B0B" w:rsidRPr="00C243EA">
        <w:rPr>
          <w:sz w:val="26"/>
        </w:rPr>
        <w:t>1</w:t>
      </w:r>
      <w:r w:rsidR="00622A26" w:rsidRPr="00C243EA">
        <w:rPr>
          <w:sz w:val="26"/>
        </w:rPr>
        <w:t>г. балансовая (первоначальная) стоимость имущества, числящегося в реестре муниципального имущества, составила 14</w:t>
      </w:r>
      <w:r w:rsidR="0028213A" w:rsidRPr="00C243EA">
        <w:rPr>
          <w:sz w:val="26"/>
        </w:rPr>
        <w:t> 825,1</w:t>
      </w:r>
      <w:r w:rsidR="00622A26" w:rsidRPr="00C243EA">
        <w:rPr>
          <w:sz w:val="26"/>
        </w:rPr>
        <w:t xml:space="preserve"> млн. руб., в том числе стоимость имущества, находящегося </w:t>
      </w:r>
      <w:r w:rsidR="0028213A" w:rsidRPr="00C243EA">
        <w:rPr>
          <w:sz w:val="26"/>
        </w:rPr>
        <w:t>в хозяйственном ведении, – 2 375,6</w:t>
      </w:r>
      <w:r w:rsidR="00622A26" w:rsidRPr="00C243EA">
        <w:rPr>
          <w:sz w:val="26"/>
        </w:rPr>
        <w:t xml:space="preserve"> млн. руб., в оперативном управлении – 7</w:t>
      </w:r>
      <w:r w:rsidR="0028213A" w:rsidRPr="00C243EA">
        <w:rPr>
          <w:sz w:val="26"/>
        </w:rPr>
        <w:t> 910,4</w:t>
      </w:r>
      <w:r w:rsidR="00622A26" w:rsidRPr="00C243EA">
        <w:rPr>
          <w:sz w:val="26"/>
        </w:rPr>
        <w:t xml:space="preserve"> млн. руб., стоимость имущества казны – 4</w:t>
      </w:r>
      <w:r w:rsidR="0028213A" w:rsidRPr="00C243EA">
        <w:rPr>
          <w:sz w:val="26"/>
        </w:rPr>
        <w:t> 539,1</w:t>
      </w:r>
      <w:r w:rsidR="00622A26" w:rsidRPr="00C243EA">
        <w:rPr>
          <w:sz w:val="26"/>
        </w:rPr>
        <w:t xml:space="preserve"> млн. руб.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Муниципальный сектор экономики представлен 4 муниципальными унитарными предприятиями и 32 муниципальными бюджетными, казенными и автономными учреждениями.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За </w:t>
      </w:r>
      <w:r w:rsidR="0028213A" w:rsidRPr="00C243EA">
        <w:rPr>
          <w:sz w:val="26"/>
        </w:rPr>
        <w:t>2020 год</w:t>
      </w:r>
      <w:r w:rsidRPr="00C243EA">
        <w:rPr>
          <w:sz w:val="26"/>
        </w:rPr>
        <w:t xml:space="preserve"> проведена работа по подготовке и оформлению распорядительных документов:</w:t>
      </w:r>
    </w:p>
    <w:p w:rsidR="00622A26" w:rsidRPr="00C243EA" w:rsidRDefault="00622A26" w:rsidP="00622A26">
      <w:pPr>
        <w:ind w:firstLine="708"/>
        <w:jc w:val="both"/>
        <w:rPr>
          <w:sz w:val="26"/>
        </w:rPr>
      </w:pPr>
      <w:r w:rsidRPr="00C243EA">
        <w:rPr>
          <w:sz w:val="26"/>
        </w:rPr>
        <w:t>- по передаче имущества в безвозмездное пользование – 9, оперативное управление - 109, в хозяйственное ведение – 12, договоров купли-продажи (мены) –2</w:t>
      </w:r>
      <w:r w:rsidR="0028213A" w:rsidRPr="00C243EA">
        <w:rPr>
          <w:sz w:val="26"/>
        </w:rPr>
        <w:t>5</w:t>
      </w:r>
      <w:r w:rsidRPr="00C243EA">
        <w:rPr>
          <w:sz w:val="26"/>
        </w:rPr>
        <w:t xml:space="preserve">, коммерческого найма - </w:t>
      </w:r>
      <w:r w:rsidR="0028213A" w:rsidRPr="00C243EA">
        <w:rPr>
          <w:sz w:val="26"/>
        </w:rPr>
        <w:t>288</w:t>
      </w:r>
      <w:r w:rsidRPr="00C243EA">
        <w:rPr>
          <w:sz w:val="26"/>
        </w:rPr>
        <w:t xml:space="preserve">, аренды имущества –3. </w:t>
      </w:r>
    </w:p>
    <w:p w:rsidR="00D112AE" w:rsidRPr="00C243EA" w:rsidRDefault="00622A26" w:rsidP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Подготовлено и исполнено </w:t>
      </w:r>
      <w:r w:rsidR="0028213A" w:rsidRPr="00C243EA">
        <w:rPr>
          <w:sz w:val="26"/>
        </w:rPr>
        <w:t>272</w:t>
      </w:r>
      <w:r w:rsidRPr="00C243EA">
        <w:rPr>
          <w:sz w:val="26"/>
        </w:rPr>
        <w:t xml:space="preserve"> приказ</w:t>
      </w:r>
      <w:r w:rsidR="0028213A" w:rsidRPr="00C243EA">
        <w:rPr>
          <w:sz w:val="26"/>
        </w:rPr>
        <w:t>а</w:t>
      </w:r>
      <w:r w:rsidRPr="00C243EA">
        <w:rPr>
          <w:sz w:val="26"/>
        </w:rPr>
        <w:t xml:space="preserve"> о закреплении имущества на праве оперативного управления и хозяйственного ведения и движению имущества по муниципальной казне, распоряжений администрации города по основной деятельности -</w:t>
      </w:r>
      <w:r w:rsidR="0028213A" w:rsidRPr="00C243EA">
        <w:rPr>
          <w:sz w:val="26"/>
        </w:rPr>
        <w:t>226,</w:t>
      </w:r>
      <w:r w:rsidRPr="00C243EA">
        <w:rPr>
          <w:sz w:val="26"/>
        </w:rPr>
        <w:t xml:space="preserve"> в том числе о согласовании крупных сделок – </w:t>
      </w:r>
      <w:r w:rsidR="0028213A" w:rsidRPr="00C243EA">
        <w:rPr>
          <w:sz w:val="26"/>
        </w:rPr>
        <w:t>8, постановлений администрации города -5, проектов решения Думы города – 5.</w:t>
      </w:r>
    </w:p>
    <w:p w:rsidR="00F81F0D" w:rsidRPr="00C243EA" w:rsidRDefault="00F81F0D" w:rsidP="00622A26">
      <w:pPr>
        <w:ind w:firstLine="708"/>
        <w:jc w:val="both"/>
        <w:rPr>
          <w:sz w:val="26"/>
        </w:rPr>
      </w:pPr>
      <w:r w:rsidRPr="00C243EA">
        <w:rPr>
          <w:sz w:val="26"/>
        </w:rPr>
        <w:t>За 2020 год зарегистрировано право собственности на 21 бесхозяйный объект недвижимого имущества.  Оформлено право муниципальной собственности на 74 объекта недвижимого имущества, изготовлено 86 технических планов и 6 технических паспортов.</w:t>
      </w:r>
    </w:p>
    <w:p w:rsidR="00D112AE" w:rsidRPr="00C243EA" w:rsidRDefault="007B4B9C" w:rsidP="007B4B9C">
      <w:pPr>
        <w:ind w:firstLine="708"/>
        <w:jc w:val="both"/>
        <w:rPr>
          <w:sz w:val="26"/>
        </w:rPr>
      </w:pPr>
      <w:r w:rsidRPr="00C243EA">
        <w:rPr>
          <w:sz w:val="26"/>
        </w:rPr>
        <w:t>По состоянию на 01.01</w:t>
      </w:r>
      <w:r w:rsidR="00622A26" w:rsidRPr="00C243EA">
        <w:rPr>
          <w:sz w:val="26"/>
        </w:rPr>
        <w:t>.202</w:t>
      </w:r>
      <w:r w:rsidRPr="00C243EA">
        <w:rPr>
          <w:sz w:val="26"/>
        </w:rPr>
        <w:t>1</w:t>
      </w:r>
      <w:r w:rsidR="00622A26" w:rsidRPr="00C243EA">
        <w:rPr>
          <w:sz w:val="26"/>
        </w:rPr>
        <w:t xml:space="preserve">г. получено доходов от использования и продажи имущества, находящегося в муниципальной собственности, в сумме </w:t>
      </w:r>
      <w:r w:rsidR="00F81F0D" w:rsidRPr="00C243EA">
        <w:rPr>
          <w:sz w:val="26"/>
        </w:rPr>
        <w:t>63 235,4</w:t>
      </w:r>
      <w:r w:rsidR="00622A26" w:rsidRPr="00C243EA">
        <w:rPr>
          <w:sz w:val="26"/>
        </w:rPr>
        <w:t xml:space="preserve"> тыс. руб., в том числе: </w:t>
      </w:r>
    </w:p>
    <w:p w:rsidR="00D112AE" w:rsidRPr="00C243EA" w:rsidRDefault="00622A26">
      <w:pPr>
        <w:tabs>
          <w:tab w:val="left" w:pos="1637"/>
        </w:tabs>
        <w:ind w:firstLine="708"/>
        <w:jc w:val="both"/>
        <w:rPr>
          <w:sz w:val="26"/>
        </w:rPr>
      </w:pPr>
      <w:r w:rsidRPr="00C243EA">
        <w:rPr>
          <w:sz w:val="26"/>
        </w:rPr>
        <w:t xml:space="preserve">- аренда имущества – </w:t>
      </w:r>
      <w:r w:rsidR="0028213A" w:rsidRPr="00C243EA">
        <w:rPr>
          <w:sz w:val="26"/>
        </w:rPr>
        <w:t>18 138,5</w:t>
      </w:r>
      <w:r w:rsidRPr="00C243EA">
        <w:rPr>
          <w:sz w:val="26"/>
        </w:rPr>
        <w:t xml:space="preserve"> тыс. руб.;</w:t>
      </w:r>
    </w:p>
    <w:p w:rsidR="00D112AE" w:rsidRPr="00C243EA" w:rsidRDefault="00622A26">
      <w:pPr>
        <w:tabs>
          <w:tab w:val="left" w:pos="1277"/>
          <w:tab w:val="left" w:pos="1637"/>
        </w:tabs>
        <w:ind w:firstLine="708"/>
        <w:jc w:val="both"/>
        <w:rPr>
          <w:sz w:val="26"/>
        </w:rPr>
      </w:pPr>
      <w:r w:rsidRPr="00C243EA">
        <w:rPr>
          <w:sz w:val="26"/>
        </w:rPr>
        <w:t xml:space="preserve">- плата за соц. найм – </w:t>
      </w:r>
      <w:r w:rsidR="0028213A" w:rsidRPr="00C243EA">
        <w:rPr>
          <w:sz w:val="26"/>
        </w:rPr>
        <w:t>963,2</w:t>
      </w:r>
      <w:r w:rsidRPr="00C243EA">
        <w:rPr>
          <w:sz w:val="26"/>
        </w:rPr>
        <w:t xml:space="preserve"> тыс.руб.;</w:t>
      </w:r>
    </w:p>
    <w:p w:rsidR="00D112AE" w:rsidRPr="00C243EA" w:rsidRDefault="00622A26">
      <w:pPr>
        <w:tabs>
          <w:tab w:val="left" w:pos="1277"/>
          <w:tab w:val="left" w:pos="1637"/>
        </w:tabs>
        <w:ind w:firstLine="708"/>
        <w:jc w:val="both"/>
        <w:rPr>
          <w:sz w:val="26"/>
        </w:rPr>
      </w:pPr>
      <w:r w:rsidRPr="00C243EA">
        <w:rPr>
          <w:sz w:val="26"/>
        </w:rPr>
        <w:t xml:space="preserve">- выкуп квартир – </w:t>
      </w:r>
      <w:r w:rsidR="0028213A" w:rsidRPr="00C243EA">
        <w:rPr>
          <w:sz w:val="26"/>
        </w:rPr>
        <w:t>43 927,1</w:t>
      </w:r>
      <w:r w:rsidRPr="00C243EA">
        <w:rPr>
          <w:sz w:val="26"/>
        </w:rPr>
        <w:t xml:space="preserve"> тыс. руб.;</w:t>
      </w:r>
    </w:p>
    <w:p w:rsidR="00D112AE" w:rsidRPr="00C243EA" w:rsidRDefault="00622A26">
      <w:pPr>
        <w:tabs>
          <w:tab w:val="left" w:pos="1277"/>
          <w:tab w:val="left" w:pos="1637"/>
        </w:tabs>
        <w:ind w:firstLine="708"/>
        <w:jc w:val="both"/>
        <w:rPr>
          <w:sz w:val="26"/>
        </w:rPr>
      </w:pPr>
      <w:r w:rsidRPr="00C243EA">
        <w:rPr>
          <w:sz w:val="26"/>
        </w:rPr>
        <w:t xml:space="preserve">- приватизация имущества – </w:t>
      </w:r>
      <w:r w:rsidR="0028213A" w:rsidRPr="00C243EA">
        <w:rPr>
          <w:sz w:val="26"/>
        </w:rPr>
        <w:t>192,6</w:t>
      </w:r>
      <w:r w:rsidRPr="00C243EA">
        <w:rPr>
          <w:sz w:val="26"/>
        </w:rPr>
        <w:t xml:space="preserve"> тыс. руб. </w:t>
      </w:r>
    </w:p>
    <w:p w:rsidR="00EA07BE" w:rsidRPr="00C243EA" w:rsidRDefault="00EA07BE">
      <w:pPr>
        <w:tabs>
          <w:tab w:val="left" w:pos="1277"/>
          <w:tab w:val="left" w:pos="1637"/>
        </w:tabs>
        <w:ind w:firstLine="708"/>
        <w:jc w:val="both"/>
        <w:rPr>
          <w:sz w:val="26"/>
        </w:rPr>
      </w:pPr>
      <w:r w:rsidRPr="00C243EA">
        <w:rPr>
          <w:sz w:val="26"/>
        </w:rPr>
        <w:t>- доходы от части прибыли МУП – 14,0</w:t>
      </w:r>
    </w:p>
    <w:p w:rsidR="00D112AE" w:rsidRPr="00C243EA" w:rsidRDefault="00622A26">
      <w:pPr>
        <w:ind w:firstLine="360"/>
        <w:jc w:val="both"/>
        <w:rPr>
          <w:sz w:val="26"/>
        </w:rPr>
      </w:pPr>
      <w:r w:rsidRPr="00C243EA">
        <w:rPr>
          <w:sz w:val="26"/>
        </w:rPr>
        <w:t xml:space="preserve">     За </w:t>
      </w:r>
      <w:r w:rsidR="0028213A" w:rsidRPr="00C243EA">
        <w:rPr>
          <w:sz w:val="26"/>
        </w:rPr>
        <w:t>2020 год</w:t>
      </w:r>
      <w:r w:rsidRPr="00C243EA">
        <w:rPr>
          <w:sz w:val="26"/>
        </w:rPr>
        <w:t xml:space="preserve"> принято в муниципальную собственность </w:t>
      </w:r>
      <w:r w:rsidR="0028213A" w:rsidRPr="00C243EA">
        <w:rPr>
          <w:color w:val="000000" w:themeColor="text1"/>
          <w:sz w:val="26"/>
        </w:rPr>
        <w:t>5 363</w:t>
      </w:r>
      <w:r w:rsidRPr="00C243EA">
        <w:rPr>
          <w:sz w:val="26"/>
        </w:rPr>
        <w:t xml:space="preserve"> объект</w:t>
      </w:r>
      <w:r w:rsidR="0028213A" w:rsidRPr="00C243EA">
        <w:rPr>
          <w:sz w:val="26"/>
        </w:rPr>
        <w:t>а</w:t>
      </w:r>
      <w:r w:rsidRPr="00C243EA">
        <w:rPr>
          <w:sz w:val="26"/>
        </w:rPr>
        <w:t xml:space="preserve"> недвижимости и особо ценного имущества, в том числе:  </w:t>
      </w:r>
    </w:p>
    <w:p w:rsidR="006A7416" w:rsidRPr="00C243EA" w:rsidRDefault="006A7416" w:rsidP="006A7416">
      <w:pPr>
        <w:ind w:firstLine="567"/>
        <w:jc w:val="both"/>
        <w:rPr>
          <w:sz w:val="26"/>
        </w:rPr>
      </w:pPr>
      <w:r w:rsidRPr="00C243EA">
        <w:rPr>
          <w:sz w:val="26"/>
        </w:rPr>
        <w:lastRenderedPageBreak/>
        <w:t>- объекты жилищного фонда – 1</w:t>
      </w:r>
      <w:r w:rsidR="0028213A" w:rsidRPr="00C243EA">
        <w:rPr>
          <w:sz w:val="26"/>
        </w:rPr>
        <w:t>71</w:t>
      </w:r>
      <w:r w:rsidRPr="00C243EA">
        <w:rPr>
          <w:sz w:val="26"/>
        </w:rPr>
        <w:t xml:space="preserve"> квартир</w:t>
      </w:r>
      <w:r w:rsidR="0028213A" w:rsidRPr="00C243EA">
        <w:rPr>
          <w:sz w:val="26"/>
        </w:rPr>
        <w:t>а</w:t>
      </w:r>
      <w:r w:rsidRPr="00C243EA">
        <w:rPr>
          <w:sz w:val="26"/>
        </w:rPr>
        <w:t>, в рамках реализации муниципальной программы «Развитие жилищной сферы в городе Пыть-Яхе»;</w:t>
      </w:r>
    </w:p>
    <w:p w:rsidR="006A7416" w:rsidRPr="00C243EA" w:rsidRDefault="006A7416" w:rsidP="006A7416">
      <w:pPr>
        <w:ind w:firstLine="567"/>
        <w:jc w:val="both"/>
        <w:rPr>
          <w:sz w:val="26"/>
        </w:rPr>
      </w:pPr>
      <w:r w:rsidRPr="00C243EA">
        <w:rPr>
          <w:sz w:val="26"/>
        </w:rPr>
        <w:t>- сетей тепловодоснабжения</w:t>
      </w:r>
      <w:r w:rsidR="0028213A" w:rsidRPr="00C243EA">
        <w:rPr>
          <w:sz w:val="26"/>
        </w:rPr>
        <w:t>, водоотведения, газоснабжения</w:t>
      </w:r>
      <w:r w:rsidRPr="00C243EA">
        <w:rPr>
          <w:sz w:val="26"/>
        </w:rPr>
        <w:t xml:space="preserve"> -</w:t>
      </w:r>
      <w:r w:rsidR="0028213A" w:rsidRPr="00C243EA">
        <w:rPr>
          <w:sz w:val="26"/>
        </w:rPr>
        <w:t>17</w:t>
      </w:r>
      <w:r w:rsidRPr="00C243EA">
        <w:rPr>
          <w:sz w:val="26"/>
        </w:rPr>
        <w:t xml:space="preserve">; </w:t>
      </w:r>
    </w:p>
    <w:p w:rsidR="006A7416" w:rsidRPr="00C243EA" w:rsidRDefault="006A7416" w:rsidP="006A7416">
      <w:pPr>
        <w:ind w:firstLine="567"/>
        <w:jc w:val="both"/>
        <w:rPr>
          <w:sz w:val="26"/>
        </w:rPr>
      </w:pPr>
      <w:r w:rsidRPr="00C243EA">
        <w:rPr>
          <w:sz w:val="26"/>
        </w:rPr>
        <w:t xml:space="preserve">- земельных участков – </w:t>
      </w:r>
      <w:r w:rsidR="0028213A" w:rsidRPr="00C243EA">
        <w:rPr>
          <w:sz w:val="26"/>
        </w:rPr>
        <w:t>19</w:t>
      </w:r>
      <w:r w:rsidRPr="00C243EA">
        <w:rPr>
          <w:sz w:val="26"/>
        </w:rPr>
        <w:t>;</w:t>
      </w:r>
    </w:p>
    <w:p w:rsidR="006A7416" w:rsidRPr="00C243EA" w:rsidRDefault="006A7416" w:rsidP="006A7416">
      <w:pPr>
        <w:ind w:firstLine="567"/>
        <w:jc w:val="both"/>
        <w:rPr>
          <w:sz w:val="26"/>
        </w:rPr>
      </w:pPr>
      <w:r w:rsidRPr="00C243EA">
        <w:rPr>
          <w:sz w:val="26"/>
        </w:rPr>
        <w:t xml:space="preserve">- транспортных средств – </w:t>
      </w:r>
      <w:r w:rsidR="0028213A" w:rsidRPr="00C243EA">
        <w:rPr>
          <w:sz w:val="26"/>
        </w:rPr>
        <w:t>3</w:t>
      </w:r>
      <w:r w:rsidRPr="00C243EA">
        <w:rPr>
          <w:sz w:val="26"/>
        </w:rPr>
        <w:t>;</w:t>
      </w:r>
    </w:p>
    <w:p w:rsidR="006A7416" w:rsidRPr="00C243EA" w:rsidRDefault="006A7416" w:rsidP="006A7416">
      <w:pPr>
        <w:ind w:firstLine="567"/>
        <w:jc w:val="both"/>
        <w:rPr>
          <w:sz w:val="26"/>
        </w:rPr>
      </w:pPr>
      <w:r w:rsidRPr="00C243EA">
        <w:rPr>
          <w:sz w:val="26"/>
        </w:rPr>
        <w:t xml:space="preserve">- ОЦДИ – </w:t>
      </w:r>
      <w:r w:rsidR="00F81F0D" w:rsidRPr="00C243EA">
        <w:rPr>
          <w:sz w:val="26"/>
        </w:rPr>
        <w:t xml:space="preserve">4 981 </w:t>
      </w:r>
      <w:r w:rsidRPr="00C243EA">
        <w:rPr>
          <w:sz w:val="26"/>
        </w:rPr>
        <w:t>ед.</w:t>
      </w:r>
    </w:p>
    <w:p w:rsidR="008803DB" w:rsidRPr="00C243EA" w:rsidRDefault="008803DB">
      <w:pPr>
        <w:ind w:firstLine="567"/>
        <w:jc w:val="both"/>
        <w:rPr>
          <w:sz w:val="26"/>
        </w:rPr>
      </w:pPr>
      <w:r w:rsidRPr="00C243EA">
        <w:rPr>
          <w:sz w:val="26"/>
        </w:rPr>
        <w:tab/>
      </w:r>
      <w:r w:rsidRPr="00C243EA">
        <w:rPr>
          <w:sz w:val="26"/>
        </w:rPr>
        <w:tab/>
      </w:r>
    </w:p>
    <w:p w:rsidR="008803DB" w:rsidRPr="00C243EA" w:rsidRDefault="008803DB" w:rsidP="008803DB">
      <w:pPr>
        <w:ind w:left="2832" w:firstLine="708"/>
        <w:jc w:val="both"/>
        <w:rPr>
          <w:sz w:val="26"/>
        </w:rPr>
      </w:pPr>
      <w:r w:rsidRPr="00C243EA">
        <w:rPr>
          <w:sz w:val="26"/>
        </w:rPr>
        <w:t>Земельные отношения</w:t>
      </w:r>
    </w:p>
    <w:p w:rsidR="008803DB" w:rsidRPr="00C243EA" w:rsidRDefault="008803DB" w:rsidP="008803DB">
      <w:pPr>
        <w:ind w:left="2832" w:firstLine="708"/>
        <w:jc w:val="both"/>
        <w:rPr>
          <w:sz w:val="26"/>
        </w:rPr>
      </w:pPr>
    </w:p>
    <w:p w:rsidR="008803DB" w:rsidRPr="00C243EA" w:rsidRDefault="008803DB" w:rsidP="00414A74">
      <w:pPr>
        <w:ind w:firstLine="708"/>
        <w:jc w:val="both"/>
        <w:rPr>
          <w:sz w:val="26"/>
        </w:rPr>
      </w:pPr>
      <w:r w:rsidRPr="00C243EA">
        <w:rPr>
          <w:sz w:val="26"/>
        </w:rPr>
        <w:t>В течение 2020 года юридическим и физическим лицам на праве аренды, постоянного (бессрочного) пользования, собственности, безвозмездного пользования предоставлено 209 земельных участков общей площадью 106 га, в том числе для целей строительства было пр</w:t>
      </w:r>
      <w:r w:rsidR="005B42F7">
        <w:rPr>
          <w:sz w:val="26"/>
        </w:rPr>
        <w:t>едоставлено 17 земельных участков</w:t>
      </w:r>
      <w:r w:rsidRPr="00C243EA">
        <w:rPr>
          <w:sz w:val="26"/>
        </w:rPr>
        <w:t>, на общ</w:t>
      </w:r>
      <w:r w:rsidR="005B42F7">
        <w:rPr>
          <w:sz w:val="26"/>
        </w:rPr>
        <w:t>ей</w:t>
      </w:r>
      <w:r w:rsidRPr="00C243EA">
        <w:rPr>
          <w:sz w:val="26"/>
        </w:rPr>
        <w:t xml:space="preserve"> площадь</w:t>
      </w:r>
      <w:r w:rsidR="005B42F7">
        <w:rPr>
          <w:sz w:val="26"/>
        </w:rPr>
        <w:t>ю</w:t>
      </w:r>
      <w:r w:rsidRPr="00C243EA">
        <w:rPr>
          <w:sz w:val="26"/>
        </w:rPr>
        <w:t xml:space="preserve"> 16,72 га. </w:t>
      </w:r>
    </w:p>
    <w:p w:rsidR="008803DB" w:rsidRPr="00C243EA" w:rsidRDefault="008803DB" w:rsidP="00414A74">
      <w:pPr>
        <w:ind w:firstLine="708"/>
        <w:jc w:val="both"/>
        <w:rPr>
          <w:sz w:val="26"/>
        </w:rPr>
      </w:pPr>
      <w:r w:rsidRPr="00C243EA">
        <w:rPr>
          <w:sz w:val="26"/>
        </w:rPr>
        <w:t>В течение года по обращениям граждан, юридических лиц подготовлено 346 распоряжений, в том числе по предоставлению земельных участков в аренду, собственность, постоянное (бессрочное) пользование, безвозмездное пользование, по прекращению прав, по утверждению схем, о выдаче разрешения на размещение, об изменении дополнительных сведений о земельном участке, о заключении соглашения о перераспределении земельного участка, об установлении сервитута, о внесении изменений. Заключено 20 договоров купли-продажи земельных участков, 51 договор аренды земельных участков, в том числе 5 соглашений о перераспределении земельных участков, 73 соглашения о расторжении договоров аренды земельных участков, 7 соглашени</w:t>
      </w:r>
      <w:r w:rsidR="005B42F7">
        <w:rPr>
          <w:sz w:val="26"/>
        </w:rPr>
        <w:t>й</w:t>
      </w:r>
      <w:r w:rsidRPr="00C243EA">
        <w:rPr>
          <w:sz w:val="26"/>
        </w:rPr>
        <w:t xml:space="preserve"> об установлении сервитута, 2 соглашения о замене стороны в договоре аренды земельного участка. Подготовлено 428 расчетов арендной платы на 2020 год с учетом уровня инфляции.</w:t>
      </w:r>
    </w:p>
    <w:p w:rsidR="008803DB" w:rsidRPr="00C243EA" w:rsidRDefault="008803DB" w:rsidP="00414A74">
      <w:pPr>
        <w:ind w:firstLine="708"/>
        <w:jc w:val="both"/>
        <w:rPr>
          <w:sz w:val="26"/>
        </w:rPr>
      </w:pPr>
      <w:r w:rsidRPr="00C243EA">
        <w:rPr>
          <w:sz w:val="26"/>
        </w:rPr>
        <w:t>По состоянию на 01.01.2021 г. получено доходов в бюджет города от аренды земельных участков – 169 198,9 тыс. руб., от выкупа земельных участков – 4 061,6 тыс. руб.</w:t>
      </w:r>
    </w:p>
    <w:p w:rsidR="008803DB" w:rsidRPr="00C243EA" w:rsidRDefault="008803DB" w:rsidP="00414A74">
      <w:pPr>
        <w:ind w:firstLine="708"/>
        <w:jc w:val="both"/>
        <w:rPr>
          <w:sz w:val="26"/>
        </w:rPr>
      </w:pPr>
      <w:r w:rsidRPr="00C243EA">
        <w:rPr>
          <w:sz w:val="26"/>
        </w:rPr>
        <w:t>Зарегистрировано право муниципальной собственности в отношении 11 земельных участков.</w:t>
      </w:r>
    </w:p>
    <w:p w:rsidR="00D112AE" w:rsidRPr="00C243EA" w:rsidRDefault="00D112AE" w:rsidP="008F3673">
      <w:pPr>
        <w:jc w:val="both"/>
        <w:rPr>
          <w:sz w:val="26"/>
        </w:rPr>
      </w:pPr>
    </w:p>
    <w:p w:rsidR="00D112AE" w:rsidRPr="00C243EA" w:rsidRDefault="00622A26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bookmarkStart w:id="67" w:name="_Toc528078036"/>
      <w:r w:rsidRPr="00C243EA">
        <w:rPr>
          <w:rFonts w:ascii="Times New Roman" w:hAnsi="Times New Roman"/>
          <w:b w:val="0"/>
          <w:sz w:val="26"/>
        </w:rPr>
        <w:t>Инвестиции, строительство</w:t>
      </w:r>
      <w:bookmarkEnd w:id="67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3A47DF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По прогнозируемым данным за 2020 год объем инвестиций в основной капитал по полному кругу предприятий составил </w:t>
      </w:r>
      <w:r w:rsidR="003A47DF" w:rsidRPr="00C243EA">
        <w:rPr>
          <w:sz w:val="26"/>
        </w:rPr>
        <w:t>1 842,7</w:t>
      </w:r>
      <w:r w:rsidRPr="00C243EA">
        <w:rPr>
          <w:sz w:val="26"/>
        </w:rPr>
        <w:t xml:space="preserve"> млн. рублей</w:t>
      </w:r>
      <w:r w:rsidR="003A47DF" w:rsidRPr="00C243EA">
        <w:rPr>
          <w:sz w:val="26"/>
        </w:rPr>
        <w:t>.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Основой благосостояния горожан является жилищное строительство. За </w:t>
      </w:r>
      <w:r w:rsidR="00630E67" w:rsidRPr="00C243EA">
        <w:rPr>
          <w:sz w:val="26"/>
        </w:rPr>
        <w:t>2020 год</w:t>
      </w:r>
      <w:r w:rsidRPr="00C243EA">
        <w:rPr>
          <w:sz w:val="26"/>
        </w:rPr>
        <w:t xml:space="preserve"> введено в эксплуатацию </w:t>
      </w:r>
      <w:r w:rsidR="001F2F18" w:rsidRPr="00C243EA">
        <w:rPr>
          <w:sz w:val="26"/>
        </w:rPr>
        <w:t>15 000</w:t>
      </w:r>
      <w:r w:rsidRPr="00C243EA">
        <w:rPr>
          <w:sz w:val="26"/>
        </w:rPr>
        <w:t xml:space="preserve"> кв.м жилья (</w:t>
      </w:r>
      <w:r w:rsidR="00630E67" w:rsidRPr="00C243EA">
        <w:rPr>
          <w:sz w:val="26"/>
        </w:rPr>
        <w:t>2019 год</w:t>
      </w:r>
      <w:r w:rsidRPr="00C243EA">
        <w:rPr>
          <w:sz w:val="26"/>
        </w:rPr>
        <w:t xml:space="preserve"> – </w:t>
      </w:r>
      <w:r w:rsidR="00630E67" w:rsidRPr="00C243EA">
        <w:rPr>
          <w:sz w:val="26"/>
        </w:rPr>
        <w:t>42 486,2</w:t>
      </w:r>
      <w:r w:rsidRPr="00C243EA">
        <w:rPr>
          <w:sz w:val="26"/>
        </w:rPr>
        <w:t xml:space="preserve"> кв. м) - 1</w:t>
      </w:r>
      <w:r w:rsidR="00630E67" w:rsidRPr="00C243EA">
        <w:rPr>
          <w:sz w:val="26"/>
        </w:rPr>
        <w:t>6</w:t>
      </w:r>
      <w:r w:rsidRPr="00C243EA">
        <w:rPr>
          <w:sz w:val="26"/>
        </w:rPr>
        <w:t xml:space="preserve"> объектов индивидуального жилищного строительства</w:t>
      </w:r>
      <w:r w:rsidR="00630E67" w:rsidRPr="00C243EA">
        <w:rPr>
          <w:sz w:val="26"/>
        </w:rPr>
        <w:t>, 1 - многоквартирный жилой дом</w:t>
      </w:r>
      <w:r w:rsidRPr="00C243EA">
        <w:rPr>
          <w:sz w:val="26"/>
        </w:rPr>
        <w:t xml:space="preserve">. Годовой план общего объема жилищного строительства (30,0 тыс. кв.м.) выполнен на </w:t>
      </w:r>
      <w:r w:rsidR="001F2F18" w:rsidRPr="00C243EA">
        <w:rPr>
          <w:sz w:val="26"/>
        </w:rPr>
        <w:t>50</w:t>
      </w:r>
      <w:r w:rsidRPr="00C243EA">
        <w:rPr>
          <w:sz w:val="26"/>
        </w:rPr>
        <w:t>%.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ab/>
        <w:t xml:space="preserve">Согласно выданной исходно-разрешительной документации, осуществляется строительство </w:t>
      </w:r>
      <w:r w:rsidR="002D0B0B" w:rsidRPr="00C243EA">
        <w:rPr>
          <w:sz w:val="26"/>
        </w:rPr>
        <w:t xml:space="preserve">4 </w:t>
      </w:r>
      <w:r w:rsidRPr="00C243EA">
        <w:rPr>
          <w:sz w:val="26"/>
        </w:rPr>
        <w:t xml:space="preserve">многоквартирных жилых домов общей площадью </w:t>
      </w:r>
      <w:r w:rsidR="002D0B0B" w:rsidRPr="00C243EA">
        <w:rPr>
          <w:sz w:val="26"/>
        </w:rPr>
        <w:t>38 303</w:t>
      </w:r>
      <w:r w:rsidRPr="00C243EA">
        <w:rPr>
          <w:sz w:val="26"/>
        </w:rPr>
        <w:t xml:space="preserve"> кв.м., 46 индивидуальных жилых и садовых домов общей площадью 5 136,7 кв.м. </w:t>
      </w:r>
    </w:p>
    <w:p w:rsidR="001F2F18" w:rsidRPr="00C243EA" w:rsidRDefault="00622A26" w:rsidP="001F2F18">
      <w:pPr>
        <w:ind w:firstLine="708"/>
        <w:jc w:val="both"/>
        <w:rPr>
          <w:sz w:val="26"/>
        </w:rPr>
      </w:pPr>
      <w:r w:rsidRPr="00C243EA">
        <w:rPr>
          <w:sz w:val="26"/>
        </w:rPr>
        <w:lastRenderedPageBreak/>
        <w:t xml:space="preserve">За </w:t>
      </w:r>
      <w:r w:rsidR="002D0B0B" w:rsidRPr="00C243EA">
        <w:rPr>
          <w:sz w:val="26"/>
        </w:rPr>
        <w:t>2020 год</w:t>
      </w:r>
      <w:r w:rsidRPr="00C243EA">
        <w:rPr>
          <w:sz w:val="26"/>
        </w:rPr>
        <w:t xml:space="preserve"> разработано </w:t>
      </w:r>
      <w:r w:rsidR="002D0B0B" w:rsidRPr="00C243EA">
        <w:rPr>
          <w:sz w:val="26"/>
        </w:rPr>
        <w:t>55</w:t>
      </w:r>
      <w:r w:rsidRPr="00C243EA">
        <w:rPr>
          <w:sz w:val="26"/>
        </w:rPr>
        <w:t xml:space="preserve"> градостроительных планов земельных участков различного вида функционального назначения.</w:t>
      </w:r>
      <w:r w:rsidR="001F2F18" w:rsidRPr="00C243EA">
        <w:rPr>
          <w:sz w:val="26"/>
        </w:rPr>
        <w:t xml:space="preserve"> Выдано 17 разрешений на строительство.</w:t>
      </w:r>
    </w:p>
    <w:p w:rsidR="00E31BE1" w:rsidRPr="00C243EA" w:rsidRDefault="00E31BE1">
      <w:pPr>
        <w:ind w:firstLine="708"/>
        <w:jc w:val="both"/>
        <w:rPr>
          <w:sz w:val="26"/>
        </w:rPr>
      </w:pPr>
      <w:bookmarkStart w:id="68" w:name="_Toc528078044"/>
      <w:bookmarkStart w:id="69" w:name="_Toc370302521"/>
      <w:bookmarkStart w:id="70" w:name="_Toc307326929"/>
      <w:bookmarkStart w:id="71" w:name="_Toc330823930"/>
      <w:bookmarkStart w:id="72" w:name="_Toc346748296"/>
      <w:bookmarkEnd w:id="27"/>
      <w:bookmarkEnd w:id="28"/>
      <w:r w:rsidRPr="00C243EA">
        <w:rPr>
          <w:sz w:val="26"/>
        </w:rPr>
        <w:t xml:space="preserve">В соответствии с градостроительным планом города Пыть-Яха, продолжается реализация проекта в зоне застройки микрорайона №1 «Центральный».  Вблизи школы-сад инвестором ОАО «Дорожно-строительной компанией «АВТОБАН» построено 2 многоквартирных дома. В 2021 году продолжится строительство еще одного 17 – этажного дома.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E31BE1" w:rsidRPr="00C243EA" w:rsidRDefault="00E31BE1" w:rsidP="00E31BE1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В целях реализации на территории г. Пыть-Яха государственного-частного партнерства, завершается работа по формированию конкурсной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Пыть-Яха. Реализация осуществляется в рамках утвержденной «Дорожной карты»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Пыть-Яха, которая согласована с ДепЖКК и энергетики ХМАО-Югры. Планируется передача в концессию МУП «Управление городского хозяйства». Планируемая дата заключения концессионного соглашения – 2021 год.  </w:t>
      </w:r>
    </w:p>
    <w:p w:rsidR="00D112AE" w:rsidRPr="00C243EA" w:rsidRDefault="00E31BE1" w:rsidP="00E31BE1">
      <w:pPr>
        <w:ind w:firstLine="708"/>
        <w:jc w:val="both"/>
        <w:rPr>
          <w:sz w:val="26"/>
        </w:rPr>
      </w:pPr>
      <w:r w:rsidRPr="00C243EA">
        <w:rPr>
          <w:sz w:val="26"/>
        </w:rPr>
        <w:t>Также, в 2021 году планируется заключение концессионного соглашения в отношении объектов уличного освещения, находящихся в собственности муниципального образования города Пыть-Яха. Ведется работа по техническому обследованию объектов концессионного соглашения, формирование перечня объектов концессионного соглашения.</w:t>
      </w:r>
      <w:r w:rsidR="00622A26" w:rsidRPr="00C243EA">
        <w:rPr>
          <w:sz w:val="26"/>
        </w:rPr>
        <w:t xml:space="preserve">  </w:t>
      </w:r>
    </w:p>
    <w:p w:rsidR="008C1F43" w:rsidRPr="00C243EA" w:rsidRDefault="008C1F43" w:rsidP="008C1F43">
      <w:pPr>
        <w:pStyle w:val="a3"/>
        <w:ind w:firstLine="708"/>
        <w:rPr>
          <w:sz w:val="26"/>
          <w:szCs w:val="26"/>
        </w:rPr>
      </w:pPr>
      <w:r w:rsidRPr="00C243EA">
        <w:rPr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инвестпрограммы предприятия в 2020 году </w:t>
      </w:r>
      <w:r w:rsidR="00D30153" w:rsidRPr="00C243EA">
        <w:rPr>
          <w:sz w:val="26"/>
          <w:szCs w:val="26"/>
        </w:rPr>
        <w:t xml:space="preserve">было </w:t>
      </w:r>
      <w:r w:rsidR="00D30153" w:rsidRPr="00C243EA">
        <w:rPr>
          <w:color w:val="000000" w:themeColor="text1"/>
          <w:sz w:val="26"/>
          <w:szCs w:val="26"/>
        </w:rPr>
        <w:t>продолжено</w:t>
      </w:r>
      <w:r w:rsidRPr="00C243EA">
        <w:rPr>
          <w:sz w:val="26"/>
          <w:szCs w:val="26"/>
        </w:rPr>
        <w:t xml:space="preserve"> строительство 7 новых объектов на сумму 67,71 млн.руб., техническое перевооружение и реконструкция 1 объекта. </w:t>
      </w:r>
    </w:p>
    <w:p w:rsidR="00E31BE1" w:rsidRPr="00C243EA" w:rsidRDefault="00E31BE1" w:rsidP="00E31BE1">
      <w:pPr>
        <w:tabs>
          <w:tab w:val="left" w:pos="540"/>
        </w:tabs>
        <w:ind w:firstLine="709"/>
        <w:jc w:val="both"/>
        <w:rPr>
          <w:sz w:val="26"/>
        </w:rPr>
      </w:pPr>
      <w:r w:rsidRPr="00C243EA">
        <w:rPr>
          <w:sz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официальном сайте администрации города </w:t>
      </w:r>
      <w:hyperlink r:id="rId16" w:history="1">
        <w:r w:rsidRPr="00C243EA">
          <w:rPr>
            <w:sz w:val="26"/>
          </w:rPr>
          <w:t>http://adm.gov86.org</w:t>
        </w:r>
      </w:hyperlink>
      <w:r w:rsidRPr="00C243EA">
        <w:rPr>
          <w:sz w:val="26"/>
        </w:rPr>
        <w:t xml:space="preserve"> и на инвестиционном портале города Пыть-Яха http://invest.gov86.org. На интернет ресурсах публикуется подробная актуальная информация об инвестиционной деятельности муниципального образования.  </w:t>
      </w:r>
    </w:p>
    <w:p w:rsidR="00E31BE1" w:rsidRPr="00C243EA" w:rsidRDefault="00E31BE1" w:rsidP="00E31BE1">
      <w:pPr>
        <w:tabs>
          <w:tab w:val="left" w:pos="540"/>
        </w:tabs>
        <w:jc w:val="both"/>
        <w:rPr>
          <w:sz w:val="26"/>
        </w:rPr>
      </w:pPr>
      <w:r w:rsidRPr="00C243EA">
        <w:rPr>
          <w:sz w:val="26"/>
        </w:rPr>
        <w:tab/>
      </w:r>
      <w:r w:rsidRPr="00C243EA">
        <w:rPr>
          <w:sz w:val="26"/>
        </w:rPr>
        <w:tab/>
        <w:t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Пыть-Ях участвует в реализации 24 региональных проектов в рамках 7 портфелей проектов. Достижение целевых показателей и реализация мероприятий региональных проектов осуществляются в рамках 10 муниципальных программ.</w:t>
      </w:r>
    </w:p>
    <w:p w:rsidR="00E31BE1" w:rsidRPr="00C243EA" w:rsidRDefault="00E31BE1" w:rsidP="00E31BE1">
      <w:pPr>
        <w:ind w:firstLine="709"/>
        <w:jc w:val="both"/>
        <w:rPr>
          <w:sz w:val="26"/>
        </w:rPr>
      </w:pPr>
      <w:r w:rsidRPr="00C243EA">
        <w:rPr>
          <w:sz w:val="26"/>
        </w:rPr>
        <w:t xml:space="preserve">Кроме этого, </w:t>
      </w:r>
      <w:r w:rsidR="006C2EA6" w:rsidRPr="00C243EA">
        <w:rPr>
          <w:sz w:val="26"/>
        </w:rPr>
        <w:t>5</w:t>
      </w:r>
      <w:r w:rsidRPr="00C243EA">
        <w:rPr>
          <w:sz w:val="26"/>
        </w:rPr>
        <w:t xml:space="preserve">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D112AE" w:rsidRPr="00C243EA" w:rsidRDefault="00E31BE1" w:rsidP="00E31BE1">
      <w:pPr>
        <w:ind w:firstLine="709"/>
        <w:jc w:val="both"/>
        <w:rPr>
          <w:sz w:val="26"/>
        </w:rPr>
      </w:pPr>
      <w:r w:rsidRPr="00C243EA">
        <w:rPr>
          <w:sz w:val="26"/>
        </w:rPr>
        <w:lastRenderedPageBreak/>
        <w:t>На 1 января 2021г в рамках проектного управления продолжают реализацию 4 проект</w:t>
      </w:r>
      <w:r w:rsidR="005B42F7">
        <w:rPr>
          <w:sz w:val="26"/>
        </w:rPr>
        <w:t>а</w:t>
      </w:r>
      <w:r w:rsidRPr="00C243EA">
        <w:rPr>
          <w:sz w:val="26"/>
        </w:rPr>
        <w:t xml:space="preserve"> муниципального образования, основанные на проектной инициативе. По 5 проектам реализация завершена по итогам достижения поставленных целей.</w:t>
      </w:r>
    </w:p>
    <w:p w:rsidR="00D112AE" w:rsidRPr="00C243EA" w:rsidRDefault="00D112AE">
      <w:pPr>
        <w:ind w:firstLine="709"/>
        <w:jc w:val="both"/>
        <w:rPr>
          <w:sz w:val="26"/>
        </w:rPr>
      </w:pPr>
    </w:p>
    <w:p w:rsidR="00D112AE" w:rsidRPr="00C243EA" w:rsidRDefault="00622A26">
      <w:pPr>
        <w:ind w:firstLine="709"/>
        <w:jc w:val="center"/>
        <w:rPr>
          <w:sz w:val="26"/>
        </w:rPr>
      </w:pPr>
      <w:r w:rsidRPr="00C243EA">
        <w:rPr>
          <w:sz w:val="26"/>
        </w:rPr>
        <w:t xml:space="preserve">  Современные информационные и телекоммуникационные технологии,</w:t>
      </w:r>
      <w:bookmarkEnd w:id="68"/>
      <w:r w:rsidRPr="00C243EA">
        <w:rPr>
          <w:sz w:val="26"/>
        </w:rPr>
        <w:t xml:space="preserve"> </w:t>
      </w:r>
      <w:bookmarkStart w:id="73" w:name="_Toc528078045"/>
      <w:r w:rsidRPr="00C243EA">
        <w:rPr>
          <w:sz w:val="26"/>
        </w:rPr>
        <w:t>электронные услуги</w:t>
      </w:r>
      <w:bookmarkEnd w:id="69"/>
      <w:bookmarkEnd w:id="73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pStyle w:val="a3"/>
        <w:ind w:firstLine="708"/>
        <w:rPr>
          <w:sz w:val="26"/>
        </w:rPr>
      </w:pPr>
      <w:bookmarkStart w:id="74" w:name="_Toc378173318"/>
      <w:bookmarkEnd w:id="70"/>
      <w:bookmarkEnd w:id="71"/>
      <w:bookmarkEnd w:id="72"/>
      <w:r w:rsidRPr="00C243EA">
        <w:rPr>
          <w:sz w:val="26"/>
        </w:rPr>
        <w:t>В 2020 год</w:t>
      </w:r>
      <w:r w:rsidR="00B07D61" w:rsidRPr="00C243EA">
        <w:rPr>
          <w:sz w:val="26"/>
        </w:rPr>
        <w:t>у</w:t>
      </w:r>
      <w:r w:rsidRPr="00C243EA">
        <w:rPr>
          <w:sz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D112AE" w:rsidRPr="00C243EA" w:rsidRDefault="00622A26">
      <w:pPr>
        <w:pStyle w:val="a3"/>
        <w:rPr>
          <w:sz w:val="26"/>
        </w:rPr>
      </w:pPr>
      <w:r w:rsidRPr="00C243EA">
        <w:rPr>
          <w:sz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</w:t>
      </w:r>
      <w:r w:rsidR="00F85C2D" w:rsidRPr="00C243EA">
        <w:rPr>
          <w:sz w:val="26"/>
        </w:rPr>
        <w:t>;</w:t>
      </w:r>
    </w:p>
    <w:p w:rsidR="00024BCB" w:rsidRPr="00C243EA" w:rsidRDefault="00024BCB">
      <w:pPr>
        <w:pStyle w:val="a3"/>
        <w:rPr>
          <w:sz w:val="26"/>
        </w:rPr>
      </w:pPr>
      <w:r w:rsidRPr="00C243EA">
        <w:rPr>
          <w:sz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виде;</w:t>
      </w:r>
    </w:p>
    <w:p w:rsidR="00D112AE" w:rsidRPr="00C243EA" w:rsidRDefault="00622A26">
      <w:pPr>
        <w:pStyle w:val="a3"/>
        <w:rPr>
          <w:sz w:val="26"/>
        </w:rPr>
      </w:pPr>
      <w:bookmarkStart w:id="75" w:name="OLE_LINK4"/>
      <w:r w:rsidRPr="00C243EA">
        <w:rPr>
          <w:sz w:val="26"/>
        </w:rPr>
        <w:t xml:space="preserve">- МБУ «МФЦ города Пыть-Яха» за </w:t>
      </w:r>
      <w:r w:rsidR="00D52369" w:rsidRPr="00C243EA">
        <w:rPr>
          <w:sz w:val="26"/>
        </w:rPr>
        <w:t>2020 год</w:t>
      </w:r>
      <w:r w:rsidRPr="00C243EA">
        <w:rPr>
          <w:sz w:val="26"/>
        </w:rPr>
        <w:t xml:space="preserve"> оказано </w:t>
      </w:r>
      <w:r w:rsidR="00D52369" w:rsidRPr="00C243EA">
        <w:rPr>
          <w:sz w:val="26"/>
        </w:rPr>
        <w:t>59 367</w:t>
      </w:r>
      <w:r w:rsidRPr="00C243EA">
        <w:rPr>
          <w:sz w:val="26"/>
        </w:rPr>
        <w:t xml:space="preserve"> консультаций и услуг, в том числе: </w:t>
      </w:r>
      <w:r w:rsidR="00D52369" w:rsidRPr="00C243EA">
        <w:rPr>
          <w:sz w:val="26"/>
        </w:rPr>
        <w:t>35 152</w:t>
      </w:r>
      <w:r w:rsidRPr="00C243EA">
        <w:rPr>
          <w:sz w:val="26"/>
        </w:rPr>
        <w:t xml:space="preserve"> - федеральных; </w:t>
      </w:r>
      <w:r w:rsidR="00D52369" w:rsidRPr="00C243EA">
        <w:rPr>
          <w:sz w:val="26"/>
        </w:rPr>
        <w:t>18 744</w:t>
      </w:r>
      <w:r w:rsidRPr="00C243EA">
        <w:rPr>
          <w:sz w:val="26"/>
        </w:rPr>
        <w:t xml:space="preserve"> - региональных; </w:t>
      </w:r>
      <w:r w:rsidR="00D52369" w:rsidRPr="00C243EA">
        <w:rPr>
          <w:sz w:val="26"/>
        </w:rPr>
        <w:t>5 360</w:t>
      </w:r>
      <w:r w:rsidRPr="00C243EA">
        <w:rPr>
          <w:sz w:val="26"/>
        </w:rPr>
        <w:t xml:space="preserve"> - муниципальные. Окно для Бизнеса - </w:t>
      </w:r>
      <w:r w:rsidR="00D52369" w:rsidRPr="00C243EA">
        <w:rPr>
          <w:sz w:val="26"/>
        </w:rPr>
        <w:t>82. ЦИК -29</w:t>
      </w:r>
      <w:r w:rsidRPr="00C243EA">
        <w:rPr>
          <w:sz w:val="26"/>
        </w:rPr>
        <w:t xml:space="preserve">. Кроме этого, выдано </w:t>
      </w:r>
      <w:r w:rsidR="00D52369" w:rsidRPr="00C243EA">
        <w:rPr>
          <w:sz w:val="26"/>
        </w:rPr>
        <w:t>16 628</w:t>
      </w:r>
      <w:r w:rsidRPr="00C243EA">
        <w:rPr>
          <w:sz w:val="26"/>
        </w:rPr>
        <w:t xml:space="preserve"> единиц готовых документов.</w:t>
      </w:r>
    </w:p>
    <w:p w:rsidR="00F85C2D" w:rsidRPr="00C243EA" w:rsidRDefault="00F85C2D" w:rsidP="00F85C2D">
      <w:pPr>
        <w:pStyle w:val="a3"/>
        <w:rPr>
          <w:sz w:val="26"/>
        </w:rPr>
      </w:pPr>
      <w:r w:rsidRPr="00C243EA">
        <w:rPr>
          <w:sz w:val="26"/>
        </w:rPr>
        <w:tab/>
        <w:t xml:space="preserve">За 2020 год посредством ЕПГУ оказаны: </w:t>
      </w:r>
    </w:p>
    <w:p w:rsidR="00F85C2D" w:rsidRPr="00C243EA" w:rsidRDefault="00F85C2D" w:rsidP="00F85C2D">
      <w:pPr>
        <w:pStyle w:val="a3"/>
        <w:rPr>
          <w:sz w:val="26"/>
        </w:rPr>
      </w:pPr>
      <w:r w:rsidRPr="00C243EA">
        <w:rPr>
          <w:sz w:val="26"/>
        </w:rPr>
        <w:t xml:space="preserve">-  муниципальные услуги – 2662 ед.; </w:t>
      </w:r>
    </w:p>
    <w:p w:rsidR="00F85C2D" w:rsidRPr="00C243EA" w:rsidRDefault="00F85C2D" w:rsidP="00F85C2D">
      <w:pPr>
        <w:pStyle w:val="a3"/>
        <w:rPr>
          <w:sz w:val="26"/>
        </w:rPr>
      </w:pPr>
      <w:r w:rsidRPr="00C243EA">
        <w:rPr>
          <w:sz w:val="26"/>
        </w:rPr>
        <w:t xml:space="preserve">- </w:t>
      </w:r>
      <w:r w:rsidR="0099725A" w:rsidRPr="00C243EA">
        <w:rPr>
          <w:sz w:val="26"/>
        </w:rPr>
        <w:t>услуги «</w:t>
      </w:r>
      <w:r w:rsidRPr="00C243EA">
        <w:rPr>
          <w:sz w:val="26"/>
        </w:rPr>
        <w:t>Электронный дневник, Запись на прием к врачу, Проверк</w:t>
      </w:r>
      <w:r w:rsidR="005B42F7">
        <w:rPr>
          <w:sz w:val="26"/>
        </w:rPr>
        <w:t>а</w:t>
      </w:r>
      <w:r w:rsidRPr="00C243EA">
        <w:rPr>
          <w:sz w:val="26"/>
        </w:rPr>
        <w:t xml:space="preserve"> очереди в детский сад</w:t>
      </w:r>
      <w:r w:rsidR="0099725A" w:rsidRPr="00C243EA">
        <w:rPr>
          <w:sz w:val="26"/>
        </w:rPr>
        <w:t>»</w:t>
      </w:r>
      <w:r w:rsidRPr="00C243EA">
        <w:rPr>
          <w:sz w:val="26"/>
        </w:rPr>
        <w:t xml:space="preserve"> – 57 069 ед.</w:t>
      </w:r>
    </w:p>
    <w:p w:rsidR="00D112AE" w:rsidRPr="00C243EA" w:rsidRDefault="00622A26">
      <w:pPr>
        <w:pStyle w:val="a3"/>
        <w:rPr>
          <w:sz w:val="26"/>
          <w:shd w:val="clear" w:color="auto" w:fill="FFFFFF"/>
        </w:rPr>
      </w:pPr>
      <w:r w:rsidRPr="00C243EA">
        <w:rPr>
          <w:sz w:val="26"/>
        </w:rPr>
        <w:tab/>
        <w:t xml:space="preserve">За </w:t>
      </w:r>
      <w:r w:rsidR="00B07D61" w:rsidRPr="00C243EA">
        <w:rPr>
          <w:sz w:val="26"/>
        </w:rPr>
        <w:t>2020 год</w:t>
      </w:r>
      <w:r w:rsidRPr="00C243EA">
        <w:rPr>
          <w:sz w:val="26"/>
        </w:rPr>
        <w:t xml:space="preserve"> на территории города зарегистрировано на Едином портале государственных и муниципальных услуг </w:t>
      </w:r>
      <w:r w:rsidR="00B07D61" w:rsidRPr="00C243EA">
        <w:rPr>
          <w:sz w:val="26"/>
        </w:rPr>
        <w:t>943</w:t>
      </w:r>
      <w:r w:rsidR="00024BCB" w:rsidRPr="00C243EA">
        <w:rPr>
          <w:sz w:val="26"/>
        </w:rPr>
        <w:t xml:space="preserve"> человек</w:t>
      </w:r>
      <w:r w:rsidR="00B07D61" w:rsidRPr="00C243EA">
        <w:rPr>
          <w:sz w:val="26"/>
        </w:rPr>
        <w:t>а</w:t>
      </w:r>
      <w:r w:rsidRPr="00C243EA">
        <w:rPr>
          <w:sz w:val="26"/>
        </w:rPr>
        <w:t>.</w:t>
      </w:r>
      <w:bookmarkEnd w:id="75"/>
    </w:p>
    <w:p w:rsidR="00D112AE" w:rsidRPr="00C243EA" w:rsidRDefault="00622A26">
      <w:pPr>
        <w:pStyle w:val="a3"/>
        <w:ind w:firstLine="708"/>
        <w:rPr>
          <w:sz w:val="26"/>
        </w:rPr>
      </w:pPr>
      <w:r w:rsidRPr="00C243EA">
        <w:rPr>
          <w:sz w:val="26"/>
        </w:rPr>
        <w:t xml:space="preserve"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позволит жителям направлять свои обращения в электронном виде. За </w:t>
      </w:r>
      <w:r w:rsidR="00365BA5" w:rsidRPr="00C243EA">
        <w:rPr>
          <w:sz w:val="26"/>
        </w:rPr>
        <w:t xml:space="preserve">2019 - </w:t>
      </w:r>
      <w:r w:rsidRPr="00C243EA">
        <w:rPr>
          <w:sz w:val="26"/>
        </w:rPr>
        <w:t>20</w:t>
      </w:r>
      <w:r w:rsidR="00365BA5" w:rsidRPr="00C243EA">
        <w:rPr>
          <w:sz w:val="26"/>
        </w:rPr>
        <w:t>20 год</w:t>
      </w:r>
      <w:r w:rsidR="00B07D61" w:rsidRPr="00C243EA">
        <w:rPr>
          <w:sz w:val="26"/>
        </w:rPr>
        <w:t>ы</w:t>
      </w:r>
      <w:r w:rsidRPr="00C243EA">
        <w:rPr>
          <w:sz w:val="26"/>
        </w:rPr>
        <w:t xml:space="preserve"> поступило </w:t>
      </w:r>
      <w:r w:rsidR="00365BA5" w:rsidRPr="00C243EA">
        <w:rPr>
          <w:sz w:val="26"/>
        </w:rPr>
        <w:t>151</w:t>
      </w:r>
      <w:r w:rsidR="00024BCB" w:rsidRPr="00C243EA">
        <w:rPr>
          <w:sz w:val="26"/>
        </w:rPr>
        <w:t xml:space="preserve"> обращени</w:t>
      </w:r>
      <w:r w:rsidR="00365BA5" w:rsidRPr="00C243EA">
        <w:rPr>
          <w:sz w:val="26"/>
        </w:rPr>
        <w:t>е</w:t>
      </w:r>
      <w:r w:rsidRPr="00C243EA">
        <w:rPr>
          <w:sz w:val="26"/>
        </w:rPr>
        <w:t>.</w:t>
      </w:r>
    </w:p>
    <w:p w:rsidR="00365BA5" w:rsidRPr="00C243EA" w:rsidRDefault="00365BA5">
      <w:pPr>
        <w:pStyle w:val="a3"/>
        <w:ind w:firstLine="708"/>
        <w:rPr>
          <w:sz w:val="26"/>
        </w:rPr>
      </w:pPr>
      <w:r w:rsidRPr="00C243EA">
        <w:rPr>
          <w:sz w:val="26"/>
        </w:rPr>
        <w:t>На сайте администрации города создан раздел «Пыть-Ях в цифрах» показывающий краткий демографический портрет города, численность учреждени</w:t>
      </w:r>
      <w:r w:rsidR="005B42F7">
        <w:rPr>
          <w:sz w:val="26"/>
        </w:rPr>
        <w:t>й</w:t>
      </w:r>
      <w:r w:rsidRPr="00C243EA">
        <w:rPr>
          <w:sz w:val="26"/>
        </w:rPr>
        <w:t xml:space="preserve"> социальной сферы, а также проведенные культурно-массовые мероприятия за определенный период.</w:t>
      </w:r>
    </w:p>
    <w:p w:rsidR="00D112AE" w:rsidRPr="00C243EA" w:rsidRDefault="00D112AE">
      <w:pPr>
        <w:pStyle w:val="1"/>
        <w:spacing w:before="0" w:after="0"/>
        <w:rPr>
          <w:rFonts w:ascii="Times New Roman" w:hAnsi="Times New Roman"/>
          <w:b w:val="0"/>
          <w:sz w:val="26"/>
        </w:rPr>
      </w:pPr>
    </w:p>
    <w:p w:rsidR="00D112AE" w:rsidRPr="00C243EA" w:rsidRDefault="00622A26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bookmarkStart w:id="76" w:name="_Toc528078046"/>
      <w:r w:rsidRPr="00C243EA">
        <w:rPr>
          <w:rFonts w:ascii="Times New Roman" w:hAnsi="Times New Roman"/>
          <w:b w:val="0"/>
          <w:sz w:val="26"/>
        </w:rPr>
        <w:t>Влияние органов местного самоуправления</w:t>
      </w:r>
      <w:bookmarkEnd w:id="74"/>
      <w:bookmarkEnd w:id="76"/>
    </w:p>
    <w:p w:rsidR="00D112AE" w:rsidRPr="00C243EA" w:rsidRDefault="00622A26">
      <w:pPr>
        <w:pStyle w:val="1"/>
        <w:spacing w:before="0" w:after="0"/>
        <w:jc w:val="center"/>
        <w:rPr>
          <w:rFonts w:ascii="Times New Roman" w:hAnsi="Times New Roman"/>
          <w:b w:val="0"/>
          <w:sz w:val="26"/>
        </w:rPr>
      </w:pPr>
      <w:bookmarkStart w:id="77" w:name="_Toc307326930"/>
      <w:bookmarkStart w:id="78" w:name="_Toc330823931"/>
      <w:bookmarkStart w:id="79" w:name="_Toc346748297"/>
      <w:bookmarkStart w:id="80" w:name="_Toc378173319"/>
      <w:bookmarkStart w:id="81" w:name="_Toc528078047"/>
      <w:r w:rsidRPr="00C243EA">
        <w:rPr>
          <w:rFonts w:ascii="Times New Roman" w:hAnsi="Times New Roman"/>
          <w:b w:val="0"/>
          <w:sz w:val="26"/>
        </w:rPr>
        <w:t>на развитие социально-экономической ситуации</w:t>
      </w:r>
      <w:bookmarkEnd w:id="77"/>
      <w:bookmarkEnd w:id="78"/>
      <w:bookmarkEnd w:id="79"/>
      <w:bookmarkEnd w:id="80"/>
      <w:bookmarkEnd w:id="81"/>
    </w:p>
    <w:p w:rsidR="00D112AE" w:rsidRPr="00C243EA" w:rsidRDefault="00D112AE">
      <w:pPr>
        <w:rPr>
          <w:sz w:val="26"/>
        </w:rPr>
      </w:pP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7" w:history="1">
        <w:r w:rsidRPr="00C243EA">
          <w:rPr>
            <w:sz w:val="26"/>
            <w:szCs w:val="26"/>
          </w:rPr>
          <w:t>http://adm.gov86.org</w:t>
        </w:r>
      </w:hyperlink>
      <w:r w:rsidRPr="00C243EA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D112AE" w:rsidRPr="00C243EA" w:rsidRDefault="00622A26">
      <w:pPr>
        <w:ind w:firstLine="708"/>
        <w:jc w:val="both"/>
        <w:rPr>
          <w:sz w:val="26"/>
        </w:rPr>
      </w:pPr>
      <w:r w:rsidRPr="00C243EA">
        <w:rPr>
          <w:sz w:val="26"/>
        </w:rPr>
        <w:lastRenderedPageBreak/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18" w:history="1">
        <w:r w:rsidRPr="00C243EA">
          <w:rPr>
            <w:sz w:val="26"/>
          </w:rPr>
          <w:t>http://adm.gov86.org</w:t>
        </w:r>
      </w:hyperlink>
      <w:r w:rsidRPr="00C243EA">
        <w:rPr>
          <w:sz w:val="26"/>
        </w:rPr>
        <w:t xml:space="preserve">, а также в социальных сетях: facebook.com., </w:t>
      </w:r>
      <w:hyperlink r:id="rId19" w:history="1">
        <w:r w:rsidRPr="00C243EA">
          <w:rPr>
            <w:sz w:val="26"/>
          </w:rPr>
          <w:t>http://ok.ru/gorod.pytyakh</w:t>
        </w:r>
      </w:hyperlink>
      <w:r w:rsidRPr="00C243EA">
        <w:rPr>
          <w:sz w:val="26"/>
        </w:rPr>
        <w:t>, vk.com, instagram.com размещается информация о деятельности администрации города, главы  города, отчеты, принятые документы, программы.</w:t>
      </w:r>
    </w:p>
    <w:p w:rsidR="00D112AE" w:rsidRPr="00C243EA" w:rsidRDefault="00622A26" w:rsidP="00024BCB">
      <w:pPr>
        <w:ind w:firstLine="708"/>
        <w:jc w:val="both"/>
        <w:rPr>
          <w:sz w:val="26"/>
        </w:rPr>
      </w:pPr>
      <w:r w:rsidRPr="00C243EA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</w:t>
      </w:r>
      <w:r w:rsidR="00024BCB" w:rsidRPr="00C243EA">
        <w:rPr>
          <w:sz w:val="26"/>
        </w:rPr>
        <w:t>в средствах массовой информации МАУ «ТРК Пыть-Яхинформ» прошло 1</w:t>
      </w:r>
      <w:r w:rsidR="00927731" w:rsidRPr="00C243EA">
        <w:rPr>
          <w:sz w:val="26"/>
        </w:rPr>
        <w:t>920</w:t>
      </w:r>
      <w:r w:rsidR="00024BCB" w:rsidRPr="00C243EA">
        <w:rPr>
          <w:sz w:val="26"/>
        </w:rPr>
        <w:t xml:space="preserve"> ед. информационных материалов. Количество информационных материалов с упоминанием органов местного самоуправления города Пыть-Яха</w:t>
      </w:r>
      <w:r w:rsidR="00927731" w:rsidRPr="00C243EA">
        <w:rPr>
          <w:sz w:val="26"/>
        </w:rPr>
        <w:t xml:space="preserve"> – 8</w:t>
      </w:r>
      <w:r w:rsidR="00024BCB" w:rsidRPr="00C243EA">
        <w:rPr>
          <w:sz w:val="26"/>
        </w:rPr>
        <w:t xml:space="preserve">45 ед. </w:t>
      </w:r>
      <w:r w:rsidR="00927731" w:rsidRPr="00C243EA">
        <w:rPr>
          <w:sz w:val="26"/>
        </w:rPr>
        <w:t>За отчетный период издан</w:t>
      </w:r>
      <w:r w:rsidRPr="00C243EA">
        <w:rPr>
          <w:sz w:val="26"/>
        </w:rPr>
        <w:t xml:space="preserve"> </w:t>
      </w:r>
      <w:r w:rsidR="00927731" w:rsidRPr="00C243EA">
        <w:rPr>
          <w:sz w:val="26"/>
        </w:rPr>
        <w:t>51</w:t>
      </w:r>
      <w:r w:rsidR="005B42F7">
        <w:rPr>
          <w:sz w:val="26"/>
        </w:rPr>
        <w:t xml:space="preserve"> номер</w:t>
      </w:r>
      <w:r w:rsidRPr="00C243EA">
        <w:rPr>
          <w:sz w:val="26"/>
        </w:rPr>
        <w:t xml:space="preserve"> общественно-политического еженедельника «Новая Северная газета».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ab/>
        <w:t>В целях реализации Указа Президента Российской Федерации от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используемых Правительством ХМАО-Югры для оценки эффективности деятельности органов местного самоуправления городских округов и муниципальных районов Ханты-Мансийского автономного округа-Югры для определения размеров грантов муниципальным образованиям, на 2019-2021 годы.</w:t>
      </w:r>
    </w:p>
    <w:p w:rsidR="0036420E" w:rsidRDefault="00C67CDD" w:rsidP="007B638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="0036420E" w:rsidRPr="0036420E">
        <w:rPr>
          <w:rFonts w:eastAsia="Calibri"/>
          <w:sz w:val="26"/>
          <w:szCs w:val="26"/>
          <w:lang w:eastAsia="en-US"/>
        </w:rPr>
        <w:t>с особыми условиями использования территории</w:t>
      </w:r>
      <w:r w:rsidR="0036420E">
        <w:rPr>
          <w:rFonts w:eastAsia="Calibri"/>
          <w:sz w:val="26"/>
          <w:szCs w:val="26"/>
          <w:lang w:eastAsia="en-US"/>
        </w:rPr>
        <w:t xml:space="preserve"> (ЗОУИТ), в связи с проходящими </w:t>
      </w:r>
      <w:r w:rsidR="0036420E" w:rsidRPr="0036420E">
        <w:rPr>
          <w:rFonts w:eastAsia="Calibri"/>
          <w:sz w:val="26"/>
          <w:szCs w:val="26"/>
          <w:lang w:eastAsia="en-US"/>
        </w:rPr>
        <w:t>инженерны</w:t>
      </w:r>
      <w:r w:rsidR="00ED6FF1">
        <w:rPr>
          <w:rFonts w:eastAsia="Calibri"/>
          <w:sz w:val="26"/>
          <w:szCs w:val="26"/>
          <w:lang w:eastAsia="en-US"/>
        </w:rPr>
        <w:t>ми</w:t>
      </w:r>
      <w:r w:rsidR="0036420E" w:rsidRPr="0036420E">
        <w:rPr>
          <w:rFonts w:eastAsia="Calibri"/>
          <w:sz w:val="26"/>
          <w:szCs w:val="26"/>
          <w:lang w:eastAsia="en-US"/>
        </w:rPr>
        <w:t xml:space="preserve"> коммуникаци</w:t>
      </w:r>
      <w:r w:rsidR="00ED6FF1">
        <w:rPr>
          <w:rFonts w:eastAsia="Calibri"/>
          <w:sz w:val="26"/>
          <w:szCs w:val="26"/>
          <w:lang w:eastAsia="en-US"/>
        </w:rPr>
        <w:t>ями</w:t>
      </w:r>
      <w:r w:rsidR="0036420E" w:rsidRPr="0036420E">
        <w:rPr>
          <w:sz w:val="26"/>
          <w:szCs w:val="26"/>
        </w:rPr>
        <w:t xml:space="preserve"> </w:t>
      </w:r>
      <w:r w:rsidR="0036420E" w:rsidRPr="00EA3128">
        <w:rPr>
          <w:sz w:val="26"/>
          <w:szCs w:val="26"/>
        </w:rPr>
        <w:t>ШФЛУ Сургут – Южный Балык</w:t>
      </w:r>
      <w:r w:rsidR="0036420E">
        <w:rPr>
          <w:sz w:val="26"/>
          <w:szCs w:val="26"/>
        </w:rPr>
        <w:t>.</w:t>
      </w:r>
    </w:p>
    <w:p w:rsidR="00C67CDD" w:rsidRDefault="0036420E" w:rsidP="0036420E">
      <w:pPr>
        <w:ind w:firstLine="708"/>
        <w:jc w:val="both"/>
        <w:rPr>
          <w:sz w:val="26"/>
        </w:rPr>
      </w:pPr>
      <w:r>
        <w:rPr>
          <w:rFonts w:eastAsia="Calibri"/>
          <w:sz w:val="26"/>
          <w:szCs w:val="26"/>
          <w:lang w:eastAsia="en-US"/>
        </w:rPr>
        <w:t>Под действие ЗОУИТ п</w:t>
      </w:r>
      <w:r w:rsidRPr="00C67CDD">
        <w:rPr>
          <w:rFonts w:eastAsia="Calibri"/>
          <w:sz w:val="26"/>
          <w:szCs w:val="26"/>
          <w:lang w:eastAsia="en-US"/>
        </w:rPr>
        <w:t>опадают 2866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55A5C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</w:t>
      </w:r>
      <w:r>
        <w:rPr>
          <w:sz w:val="26"/>
          <w:szCs w:val="26"/>
        </w:rPr>
        <w:t xml:space="preserve"> передвижные вагончики и палатки.</w:t>
      </w:r>
    </w:p>
    <w:p w:rsidR="00C67CDD" w:rsidRDefault="0036420E" w:rsidP="007B6387">
      <w:pPr>
        <w:ind w:firstLine="708"/>
        <w:jc w:val="both"/>
        <w:rPr>
          <w:sz w:val="26"/>
        </w:rPr>
      </w:pPr>
      <w:r>
        <w:rPr>
          <w:sz w:val="26"/>
          <w:szCs w:val="26"/>
        </w:rPr>
        <w:t>А</w:t>
      </w:r>
      <w:r w:rsidRPr="00EA3128">
        <w:rPr>
          <w:sz w:val="26"/>
          <w:szCs w:val="26"/>
        </w:rPr>
        <w:t>дминистрация города столкнулась с невозможностью проведения аукционов</w:t>
      </w:r>
      <w:r>
        <w:rPr>
          <w:sz w:val="26"/>
          <w:szCs w:val="26"/>
        </w:rPr>
        <w:t xml:space="preserve"> на право аренды земельных участков</w:t>
      </w:r>
      <w:r w:rsidRPr="00EA3128">
        <w:rPr>
          <w:sz w:val="26"/>
          <w:szCs w:val="26"/>
        </w:rPr>
        <w:t xml:space="preserve">, </w:t>
      </w:r>
      <w:r>
        <w:rPr>
          <w:sz w:val="26"/>
          <w:szCs w:val="26"/>
        </w:rPr>
        <w:t>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C67CDD" w:rsidRPr="0036420E" w:rsidRDefault="0036420E" w:rsidP="003642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6420E">
        <w:rPr>
          <w:rFonts w:eastAsia="Calibri"/>
          <w:sz w:val="26"/>
          <w:szCs w:val="26"/>
          <w:lang w:eastAsia="en-US"/>
        </w:rPr>
        <w:t>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7B6387" w:rsidRDefault="00C67CDD" w:rsidP="0036420E">
      <w:pPr>
        <w:ind w:firstLine="708"/>
        <w:jc w:val="both"/>
        <w:rPr>
          <w:sz w:val="26"/>
        </w:rPr>
      </w:pPr>
      <w:r>
        <w:rPr>
          <w:sz w:val="26"/>
        </w:rPr>
        <w:t>Также</w:t>
      </w:r>
      <w:r w:rsidR="00622A26" w:rsidRPr="00C243EA">
        <w:rPr>
          <w:sz w:val="26"/>
        </w:rPr>
        <w:t xml:space="preserve"> проблем</w:t>
      </w:r>
      <w:r w:rsidR="00ED6FF1">
        <w:rPr>
          <w:sz w:val="26"/>
        </w:rPr>
        <w:t>ами</w:t>
      </w:r>
      <w:r w:rsidR="00622A26" w:rsidRPr="00C243EA">
        <w:rPr>
          <w:sz w:val="26"/>
        </w:rPr>
        <w:t xml:space="preserve">, которые необходимо решить в ближайшей перспективе, </w:t>
      </w:r>
      <w:r w:rsidR="00ED6FF1">
        <w:rPr>
          <w:sz w:val="26"/>
        </w:rPr>
        <w:t>остаются</w:t>
      </w:r>
      <w:r w:rsidR="00622A26" w:rsidRPr="00C243EA">
        <w:rPr>
          <w:sz w:val="26"/>
        </w:rPr>
        <w:t>:</w:t>
      </w:r>
    </w:p>
    <w:p w:rsidR="00D112AE" w:rsidRPr="00C243EA" w:rsidRDefault="00622A26" w:rsidP="007B6387">
      <w:pPr>
        <w:jc w:val="both"/>
        <w:rPr>
          <w:sz w:val="26"/>
        </w:rPr>
      </w:pPr>
      <w:r w:rsidRPr="00C243EA">
        <w:rPr>
          <w:sz w:val="26"/>
        </w:rPr>
        <w:lastRenderedPageBreak/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D112AE" w:rsidRPr="00C243EA" w:rsidRDefault="00622A26">
      <w:pPr>
        <w:jc w:val="both"/>
        <w:rPr>
          <w:sz w:val="26"/>
        </w:rPr>
      </w:pPr>
      <w:r w:rsidRPr="00C243EA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D112AE" w:rsidRDefault="00622A26">
      <w:pPr>
        <w:jc w:val="both"/>
        <w:rPr>
          <w:sz w:val="26"/>
        </w:rPr>
      </w:pPr>
      <w:r w:rsidRPr="00C243EA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</w:t>
      </w:r>
      <w:r w:rsidR="007B6387">
        <w:rPr>
          <w:sz w:val="26"/>
        </w:rPr>
        <w:t>е в городе ливневой канализации;</w:t>
      </w:r>
    </w:p>
    <w:p w:rsidR="007B6387" w:rsidRPr="00855883" w:rsidRDefault="00F07385">
      <w:pPr>
        <w:jc w:val="both"/>
        <w:rPr>
          <w:sz w:val="26"/>
        </w:rPr>
      </w:pPr>
      <w:r>
        <w:rPr>
          <w:sz w:val="26"/>
        </w:rPr>
        <w:t xml:space="preserve">- в сфере капитального ремонта дорог местного значения </w:t>
      </w:r>
      <w:r w:rsidR="002040F8">
        <w:rPr>
          <w:sz w:val="26"/>
        </w:rPr>
        <w:t>–</w:t>
      </w:r>
      <w:r>
        <w:rPr>
          <w:sz w:val="26"/>
        </w:rPr>
        <w:t xml:space="preserve"> </w:t>
      </w:r>
      <w:r w:rsidR="002040F8">
        <w:rPr>
          <w:sz w:val="26"/>
        </w:rPr>
        <w:t xml:space="preserve">ремонт </w:t>
      </w:r>
      <w:r>
        <w:rPr>
          <w:bCs/>
          <w:sz w:val="26"/>
          <w:szCs w:val="26"/>
        </w:rPr>
        <w:t>п</w:t>
      </w:r>
      <w:r w:rsidRPr="00F07385">
        <w:rPr>
          <w:bCs/>
          <w:sz w:val="26"/>
          <w:szCs w:val="26"/>
        </w:rPr>
        <w:t>утепровод</w:t>
      </w:r>
      <w:r w:rsidR="002040F8">
        <w:rPr>
          <w:bCs/>
          <w:sz w:val="26"/>
          <w:szCs w:val="26"/>
        </w:rPr>
        <w:t>а</w:t>
      </w:r>
      <w:r w:rsidRPr="00F07385">
        <w:rPr>
          <w:bCs/>
          <w:sz w:val="26"/>
          <w:szCs w:val="26"/>
        </w:rPr>
        <w:t xml:space="preserve"> через железнодорожные пути</w:t>
      </w:r>
      <w:r>
        <w:rPr>
          <w:sz w:val="26"/>
        </w:rPr>
        <w:t xml:space="preserve">, </w:t>
      </w:r>
      <w:r w:rsidR="002040F8">
        <w:rPr>
          <w:sz w:val="26"/>
        </w:rPr>
        <w:t xml:space="preserve">завершение ремонта </w:t>
      </w:r>
      <w:r w:rsidR="007B6387">
        <w:rPr>
          <w:sz w:val="26"/>
        </w:rPr>
        <w:t>1</w:t>
      </w:r>
      <w:r w:rsidR="002040F8">
        <w:rPr>
          <w:sz w:val="26"/>
        </w:rPr>
        <w:t>-го участ</w:t>
      </w:r>
      <w:r w:rsidR="007B6387">
        <w:rPr>
          <w:sz w:val="26"/>
        </w:rPr>
        <w:t>к</w:t>
      </w:r>
      <w:r w:rsidR="002040F8">
        <w:rPr>
          <w:sz w:val="26"/>
        </w:rPr>
        <w:t>а</w:t>
      </w:r>
      <w:r w:rsidR="007B6387">
        <w:rPr>
          <w:sz w:val="26"/>
        </w:rPr>
        <w:t xml:space="preserve"> </w:t>
      </w:r>
      <w:r w:rsidR="002040F8">
        <w:rPr>
          <w:sz w:val="26"/>
        </w:rPr>
        <w:t xml:space="preserve">улицы </w:t>
      </w:r>
      <w:r w:rsidR="007B6387">
        <w:rPr>
          <w:sz w:val="26"/>
        </w:rPr>
        <w:t>Романа Кузоваткина</w:t>
      </w:r>
      <w:r w:rsidR="002040F8">
        <w:rPr>
          <w:sz w:val="26"/>
        </w:rPr>
        <w:t>.</w:t>
      </w:r>
    </w:p>
    <w:p w:rsidR="007B6387" w:rsidRDefault="007B6387">
      <w:pPr>
        <w:jc w:val="both"/>
        <w:rPr>
          <w:sz w:val="26"/>
        </w:rPr>
      </w:pPr>
    </w:p>
    <w:p w:rsidR="007B6387" w:rsidRPr="003639F5" w:rsidRDefault="007B6387">
      <w:pPr>
        <w:jc w:val="both"/>
        <w:rPr>
          <w:sz w:val="26"/>
        </w:rPr>
      </w:pPr>
    </w:p>
    <w:p w:rsidR="00D112AE" w:rsidRPr="003639F5" w:rsidRDefault="00622A26">
      <w:pPr>
        <w:jc w:val="both"/>
        <w:rPr>
          <w:sz w:val="26"/>
        </w:rPr>
      </w:pPr>
      <w:r w:rsidRPr="003639F5">
        <w:rPr>
          <w:sz w:val="26"/>
        </w:rPr>
        <w:t xml:space="preserve">Начальник </w:t>
      </w:r>
    </w:p>
    <w:p w:rsidR="00D112AE" w:rsidRPr="00855883" w:rsidRDefault="00622A26">
      <w:pPr>
        <w:jc w:val="both"/>
        <w:rPr>
          <w:sz w:val="26"/>
        </w:rPr>
      </w:pPr>
      <w:r w:rsidRPr="003639F5">
        <w:rPr>
          <w:sz w:val="26"/>
        </w:rPr>
        <w:t>управления по экономике                                                                                С.В. Маслак</w:t>
      </w:r>
    </w:p>
    <w:sectPr w:rsidR="00D112AE" w:rsidRPr="00855883">
      <w:footerReference w:type="even" r:id="rId20"/>
      <w:footerReference w:type="default" r:id="rId21"/>
      <w:pgSz w:w="11906" w:h="16838" w:code="9"/>
      <w:pgMar w:top="1134" w:right="567" w:bottom="79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65B" w:rsidRDefault="00D5565B">
      <w:r>
        <w:separator/>
      </w:r>
    </w:p>
  </w:endnote>
  <w:endnote w:type="continuationSeparator" w:id="0">
    <w:p w:rsidR="00D5565B" w:rsidRDefault="00D5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DD" w:rsidRDefault="00C67CDD">
    <w:pPr>
      <w:pStyle w:val="a7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</w:rPr>
      <w:t>#</w:t>
    </w:r>
    <w:r>
      <w:rPr>
        <w:rStyle w:val="afe"/>
      </w:rPr>
      <w:fldChar w:fldCharType="end"/>
    </w:r>
  </w:p>
  <w:p w:rsidR="00C67CDD" w:rsidRDefault="00C67CD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DD" w:rsidRDefault="00C67CDD">
    <w:pPr>
      <w:pStyle w:val="a7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890848">
      <w:rPr>
        <w:rStyle w:val="afe"/>
        <w:noProof/>
      </w:rPr>
      <w:t>18</w:t>
    </w:r>
    <w:r>
      <w:rPr>
        <w:rStyle w:val="afe"/>
      </w:rPr>
      <w:fldChar w:fldCharType="end"/>
    </w:r>
  </w:p>
  <w:p w:rsidR="00C67CDD" w:rsidRDefault="00C67CDD">
    <w:pPr>
      <w:pStyle w:val="a7"/>
      <w:ind w:right="360"/>
    </w:pPr>
  </w:p>
  <w:p w:rsidR="00C67CDD" w:rsidRDefault="00C67CD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65B" w:rsidRDefault="00D5565B">
      <w:r>
        <w:separator/>
      </w:r>
    </w:p>
  </w:footnote>
  <w:footnote w:type="continuationSeparator" w:id="0">
    <w:p w:rsidR="00D5565B" w:rsidRDefault="00D5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A278B"/>
    <w:multiLevelType w:val="hybridMultilevel"/>
    <w:tmpl w:val="DF12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010B"/>
    <w:multiLevelType w:val="hybridMultilevel"/>
    <w:tmpl w:val="4F4A4468"/>
    <w:lvl w:ilvl="0" w:tplc="41968D38">
      <w:start w:val="1"/>
      <w:numFmt w:val="bullet"/>
      <w:lvlText w:val=""/>
      <w:lvlJc w:val="left"/>
      <w:pPr>
        <w:tabs>
          <w:tab w:val="left" w:pos="710"/>
        </w:tabs>
        <w:ind w:left="709" w:firstLine="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2" w15:restartNumberingAfterBreak="0">
    <w:nsid w:val="236E6A78"/>
    <w:multiLevelType w:val="hybridMultilevel"/>
    <w:tmpl w:val="D5A8408C"/>
    <w:lvl w:ilvl="0" w:tplc="38FEC704">
      <w:start w:val="1"/>
      <w:numFmt w:val="bullet"/>
      <w:lvlText w:val=""/>
      <w:lvlJc w:val="left"/>
      <w:pPr>
        <w:tabs>
          <w:tab w:val="left" w:pos="1429"/>
        </w:tabs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6571C7B"/>
    <w:multiLevelType w:val="hybridMultilevel"/>
    <w:tmpl w:val="F3A83D2C"/>
    <w:lvl w:ilvl="0" w:tplc="38FEC704">
      <w:start w:val="1"/>
      <w:numFmt w:val="bullet"/>
      <w:lvlText w:val=""/>
      <w:lvlJc w:val="left"/>
      <w:pPr>
        <w:tabs>
          <w:tab w:val="left" w:pos="1637"/>
        </w:tabs>
        <w:ind w:left="163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2EA7099"/>
    <w:multiLevelType w:val="hybridMultilevel"/>
    <w:tmpl w:val="6AF81094"/>
    <w:lvl w:ilvl="0" w:tplc="4684A2F8">
      <w:start w:val="1"/>
      <w:numFmt w:val="bullet"/>
      <w:lvlText w:val="-"/>
      <w:lvlJc w:val="left"/>
      <w:pPr>
        <w:tabs>
          <w:tab w:val="left" w:pos="567"/>
        </w:tabs>
        <w:ind w:left="567" w:hanging="283"/>
      </w:pPr>
      <w:rPr>
        <w:rFonts w:ascii="SD Viewer Font" w:hAnsi="SD Viewer Fon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A22438D"/>
    <w:multiLevelType w:val="hybridMultilevel"/>
    <w:tmpl w:val="FA80BD72"/>
    <w:lvl w:ilvl="0" w:tplc="38FEC704">
      <w:start w:val="1"/>
      <w:numFmt w:val="bullet"/>
      <w:lvlText w:val=""/>
      <w:lvlJc w:val="left"/>
      <w:pPr>
        <w:tabs>
          <w:tab w:val="left" w:pos="2137"/>
        </w:tabs>
        <w:ind w:left="213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6" w15:restartNumberingAfterBreak="0">
    <w:nsid w:val="53AF21C6"/>
    <w:multiLevelType w:val="hybridMultilevel"/>
    <w:tmpl w:val="4E269FF2"/>
    <w:lvl w:ilvl="0" w:tplc="BBB0EC76">
      <w:start w:val="1"/>
      <w:numFmt w:val="bullet"/>
      <w:lvlText w:val=""/>
      <w:lvlJc w:val="left"/>
      <w:pPr>
        <w:tabs>
          <w:tab w:val="left" w:pos="1275"/>
        </w:tabs>
        <w:ind w:left="708" w:firstLine="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7" w15:restartNumberingAfterBreak="0">
    <w:nsid w:val="5B093A40"/>
    <w:multiLevelType w:val="hybridMultilevel"/>
    <w:tmpl w:val="DFF2E7DE"/>
    <w:lvl w:ilvl="0" w:tplc="38FEC704">
      <w:start w:val="1"/>
      <w:numFmt w:val="bullet"/>
      <w:lvlText w:val=""/>
      <w:lvlJc w:val="left"/>
      <w:pPr>
        <w:tabs>
          <w:tab w:val="left" w:pos="1429"/>
        </w:tabs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45E3468"/>
    <w:multiLevelType w:val="hybridMultilevel"/>
    <w:tmpl w:val="251CF9BC"/>
    <w:lvl w:ilvl="0" w:tplc="1952C054">
      <w:start w:val="1"/>
      <w:numFmt w:val="decimal"/>
      <w:lvlText w:val="%1."/>
      <w:lvlJc w:val="left"/>
      <w:pPr>
        <w:tabs>
          <w:tab w:val="left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left" w:pos="2148"/>
        </w:tabs>
        <w:ind w:left="2148" w:hanging="360"/>
      </w:pPr>
      <w:rPr>
        <w:rFonts w:ascii="Symbol" w:hAnsi="Symbol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left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8"/>
        </w:tabs>
        <w:ind w:left="7188" w:hanging="180"/>
      </w:pPr>
    </w:lvl>
  </w:abstractNum>
  <w:abstractNum w:abstractNumId="9" w15:restartNumberingAfterBreak="0">
    <w:nsid w:val="6AE65982"/>
    <w:multiLevelType w:val="hybridMultilevel"/>
    <w:tmpl w:val="08C6D2E6"/>
    <w:lvl w:ilvl="0" w:tplc="04190001">
      <w:start w:val="1"/>
      <w:numFmt w:val="bullet"/>
      <w:lvlText w:val=""/>
      <w:lvlJc w:val="left"/>
      <w:pPr>
        <w:tabs>
          <w:tab w:val="left" w:pos="1287"/>
        </w:tabs>
        <w:ind w:left="1287" w:hanging="360"/>
      </w:pPr>
      <w:rPr>
        <w:rFonts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left" w:pos="2007"/>
        </w:tabs>
        <w:ind w:left="2007" w:hanging="360"/>
      </w:pPr>
    </w:lvl>
    <w:lvl w:ilvl="2" w:tplc="04190005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/>
      </w:rPr>
    </w:lvl>
  </w:abstractNum>
  <w:abstractNum w:abstractNumId="10" w15:restartNumberingAfterBreak="0">
    <w:nsid w:val="75574C30"/>
    <w:multiLevelType w:val="hybridMultilevel"/>
    <w:tmpl w:val="378E8A84"/>
    <w:lvl w:ilvl="0" w:tplc="04190001">
      <w:start w:val="1"/>
      <w:numFmt w:val="bullet"/>
      <w:lvlText w:val=""/>
      <w:lvlJc w:val="left"/>
      <w:pPr>
        <w:tabs>
          <w:tab w:val="left" w:pos="1287"/>
        </w:tabs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/>
      </w:rPr>
    </w:lvl>
  </w:abstractNum>
  <w:abstractNum w:abstractNumId="11" w15:restartNumberingAfterBreak="0">
    <w:nsid w:val="7BAF3093"/>
    <w:multiLevelType w:val="hybridMultilevel"/>
    <w:tmpl w:val="6D3AD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419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2e14a695-b553-41ac-835d-a9a7762c1050"/>
  </w:docVars>
  <w:rsids>
    <w:rsidRoot w:val="00D112AE"/>
    <w:rsid w:val="00014691"/>
    <w:rsid w:val="00024BCB"/>
    <w:rsid w:val="00043D9B"/>
    <w:rsid w:val="000545D1"/>
    <w:rsid w:val="000748BC"/>
    <w:rsid w:val="000A46B8"/>
    <w:rsid w:val="000A74D8"/>
    <w:rsid w:val="000B1994"/>
    <w:rsid w:val="000B3836"/>
    <w:rsid w:val="000D2040"/>
    <w:rsid w:val="00125C00"/>
    <w:rsid w:val="00143D13"/>
    <w:rsid w:val="00144C38"/>
    <w:rsid w:val="001626BB"/>
    <w:rsid w:val="00165BA9"/>
    <w:rsid w:val="0016798C"/>
    <w:rsid w:val="00175AE5"/>
    <w:rsid w:val="00177D99"/>
    <w:rsid w:val="0018053A"/>
    <w:rsid w:val="00184C84"/>
    <w:rsid w:val="0019305E"/>
    <w:rsid w:val="001A0230"/>
    <w:rsid w:val="001C73C1"/>
    <w:rsid w:val="001D7098"/>
    <w:rsid w:val="001E2399"/>
    <w:rsid w:val="001F1A6B"/>
    <w:rsid w:val="001F2F18"/>
    <w:rsid w:val="001F6416"/>
    <w:rsid w:val="001F796E"/>
    <w:rsid w:val="00202DCB"/>
    <w:rsid w:val="002040F8"/>
    <w:rsid w:val="00207D0A"/>
    <w:rsid w:val="00216CD1"/>
    <w:rsid w:val="00231B5C"/>
    <w:rsid w:val="00235C5D"/>
    <w:rsid w:val="00236AE0"/>
    <w:rsid w:val="00255B91"/>
    <w:rsid w:val="002572B1"/>
    <w:rsid w:val="00270D41"/>
    <w:rsid w:val="0027105A"/>
    <w:rsid w:val="00274607"/>
    <w:rsid w:val="0028213A"/>
    <w:rsid w:val="002831B5"/>
    <w:rsid w:val="002C3CD2"/>
    <w:rsid w:val="002C7CD4"/>
    <w:rsid w:val="002D0B0B"/>
    <w:rsid w:val="002E1868"/>
    <w:rsid w:val="002E217D"/>
    <w:rsid w:val="003201C1"/>
    <w:rsid w:val="00342396"/>
    <w:rsid w:val="00356273"/>
    <w:rsid w:val="003639F5"/>
    <w:rsid w:val="0036420E"/>
    <w:rsid w:val="00365784"/>
    <w:rsid w:val="00365BA5"/>
    <w:rsid w:val="003726C5"/>
    <w:rsid w:val="0038020C"/>
    <w:rsid w:val="003A47DF"/>
    <w:rsid w:val="003C333C"/>
    <w:rsid w:val="003C6F4B"/>
    <w:rsid w:val="003D3FFE"/>
    <w:rsid w:val="00414A74"/>
    <w:rsid w:val="00420D02"/>
    <w:rsid w:val="00424469"/>
    <w:rsid w:val="00456C82"/>
    <w:rsid w:val="00457A7C"/>
    <w:rsid w:val="00467214"/>
    <w:rsid w:val="004761CD"/>
    <w:rsid w:val="00476329"/>
    <w:rsid w:val="0047787B"/>
    <w:rsid w:val="004828D0"/>
    <w:rsid w:val="00497FDD"/>
    <w:rsid w:val="004A6A14"/>
    <w:rsid w:val="004C3F06"/>
    <w:rsid w:val="004D356C"/>
    <w:rsid w:val="004F7A2C"/>
    <w:rsid w:val="005133FD"/>
    <w:rsid w:val="005244DA"/>
    <w:rsid w:val="005446E8"/>
    <w:rsid w:val="0054772B"/>
    <w:rsid w:val="00562A58"/>
    <w:rsid w:val="005648F6"/>
    <w:rsid w:val="00570E05"/>
    <w:rsid w:val="00575B5D"/>
    <w:rsid w:val="005949A7"/>
    <w:rsid w:val="005952A4"/>
    <w:rsid w:val="005B344B"/>
    <w:rsid w:val="005B42F7"/>
    <w:rsid w:val="005D5A77"/>
    <w:rsid w:val="005F073F"/>
    <w:rsid w:val="00622A26"/>
    <w:rsid w:val="00624141"/>
    <w:rsid w:val="00630E67"/>
    <w:rsid w:val="00631EBF"/>
    <w:rsid w:val="006337DA"/>
    <w:rsid w:val="00634A1D"/>
    <w:rsid w:val="0063756F"/>
    <w:rsid w:val="00656389"/>
    <w:rsid w:val="00670173"/>
    <w:rsid w:val="0067141C"/>
    <w:rsid w:val="0067304C"/>
    <w:rsid w:val="00683455"/>
    <w:rsid w:val="0068653F"/>
    <w:rsid w:val="00687F6F"/>
    <w:rsid w:val="006A1D38"/>
    <w:rsid w:val="006A7416"/>
    <w:rsid w:val="006B7A8E"/>
    <w:rsid w:val="006C2EA6"/>
    <w:rsid w:val="006D4624"/>
    <w:rsid w:val="006E3F70"/>
    <w:rsid w:val="006E4646"/>
    <w:rsid w:val="006F4F58"/>
    <w:rsid w:val="0071756A"/>
    <w:rsid w:val="00741FB7"/>
    <w:rsid w:val="00745B22"/>
    <w:rsid w:val="00782E03"/>
    <w:rsid w:val="00787FC6"/>
    <w:rsid w:val="007A0952"/>
    <w:rsid w:val="007A56A2"/>
    <w:rsid w:val="007A6E68"/>
    <w:rsid w:val="007B4B9C"/>
    <w:rsid w:val="007B5A75"/>
    <w:rsid w:val="007B6387"/>
    <w:rsid w:val="007B7B79"/>
    <w:rsid w:val="007E006F"/>
    <w:rsid w:val="007E0587"/>
    <w:rsid w:val="007E0D2C"/>
    <w:rsid w:val="007E3F28"/>
    <w:rsid w:val="0083136D"/>
    <w:rsid w:val="00846DB1"/>
    <w:rsid w:val="00852ED2"/>
    <w:rsid w:val="00855883"/>
    <w:rsid w:val="00863A48"/>
    <w:rsid w:val="008712D9"/>
    <w:rsid w:val="0087309B"/>
    <w:rsid w:val="008803DB"/>
    <w:rsid w:val="00890848"/>
    <w:rsid w:val="008B5A2D"/>
    <w:rsid w:val="008B5F68"/>
    <w:rsid w:val="008B663F"/>
    <w:rsid w:val="008C1F43"/>
    <w:rsid w:val="008E2C4A"/>
    <w:rsid w:val="008E703E"/>
    <w:rsid w:val="008F3673"/>
    <w:rsid w:val="00900C23"/>
    <w:rsid w:val="0091564A"/>
    <w:rsid w:val="00915C39"/>
    <w:rsid w:val="00927731"/>
    <w:rsid w:val="009705AE"/>
    <w:rsid w:val="00971656"/>
    <w:rsid w:val="00971B6A"/>
    <w:rsid w:val="00991F1D"/>
    <w:rsid w:val="0099725A"/>
    <w:rsid w:val="009C083C"/>
    <w:rsid w:val="009D5B73"/>
    <w:rsid w:val="009D5DBB"/>
    <w:rsid w:val="009E4C91"/>
    <w:rsid w:val="009F3013"/>
    <w:rsid w:val="009F597D"/>
    <w:rsid w:val="00A21DA2"/>
    <w:rsid w:val="00A2480E"/>
    <w:rsid w:val="00A312DE"/>
    <w:rsid w:val="00A3443C"/>
    <w:rsid w:val="00A40E29"/>
    <w:rsid w:val="00A46A7E"/>
    <w:rsid w:val="00A54944"/>
    <w:rsid w:val="00A61938"/>
    <w:rsid w:val="00A863A7"/>
    <w:rsid w:val="00AB31B0"/>
    <w:rsid w:val="00AB6749"/>
    <w:rsid w:val="00AC4846"/>
    <w:rsid w:val="00AC48D3"/>
    <w:rsid w:val="00AD544F"/>
    <w:rsid w:val="00AE4922"/>
    <w:rsid w:val="00B03740"/>
    <w:rsid w:val="00B0535E"/>
    <w:rsid w:val="00B07D61"/>
    <w:rsid w:val="00B46113"/>
    <w:rsid w:val="00B4675E"/>
    <w:rsid w:val="00B74BEE"/>
    <w:rsid w:val="00B74FE5"/>
    <w:rsid w:val="00B81B81"/>
    <w:rsid w:val="00B84A4D"/>
    <w:rsid w:val="00B8609D"/>
    <w:rsid w:val="00BB6A6B"/>
    <w:rsid w:val="00BD0935"/>
    <w:rsid w:val="00BF3BC1"/>
    <w:rsid w:val="00C05F35"/>
    <w:rsid w:val="00C13C77"/>
    <w:rsid w:val="00C22CC7"/>
    <w:rsid w:val="00C243EA"/>
    <w:rsid w:val="00C40305"/>
    <w:rsid w:val="00C50437"/>
    <w:rsid w:val="00C623FC"/>
    <w:rsid w:val="00C67CDD"/>
    <w:rsid w:val="00C7024D"/>
    <w:rsid w:val="00C73FDD"/>
    <w:rsid w:val="00C764D6"/>
    <w:rsid w:val="00C928C7"/>
    <w:rsid w:val="00CA18E1"/>
    <w:rsid w:val="00CA6667"/>
    <w:rsid w:val="00CB2499"/>
    <w:rsid w:val="00CC2071"/>
    <w:rsid w:val="00CF755D"/>
    <w:rsid w:val="00D071F8"/>
    <w:rsid w:val="00D112AE"/>
    <w:rsid w:val="00D127F1"/>
    <w:rsid w:val="00D13F91"/>
    <w:rsid w:val="00D22085"/>
    <w:rsid w:val="00D22F60"/>
    <w:rsid w:val="00D26055"/>
    <w:rsid w:val="00D26616"/>
    <w:rsid w:val="00D30153"/>
    <w:rsid w:val="00D34429"/>
    <w:rsid w:val="00D52369"/>
    <w:rsid w:val="00D5565B"/>
    <w:rsid w:val="00D704A2"/>
    <w:rsid w:val="00D77AE1"/>
    <w:rsid w:val="00D8026E"/>
    <w:rsid w:val="00D8348A"/>
    <w:rsid w:val="00D842BF"/>
    <w:rsid w:val="00D9596C"/>
    <w:rsid w:val="00DB15BF"/>
    <w:rsid w:val="00DB1D33"/>
    <w:rsid w:val="00DC6C04"/>
    <w:rsid w:val="00DD01AD"/>
    <w:rsid w:val="00DE0D6C"/>
    <w:rsid w:val="00DE24F2"/>
    <w:rsid w:val="00DF0329"/>
    <w:rsid w:val="00DF2222"/>
    <w:rsid w:val="00DF2687"/>
    <w:rsid w:val="00DF71ED"/>
    <w:rsid w:val="00E0683B"/>
    <w:rsid w:val="00E31BE1"/>
    <w:rsid w:val="00E455AF"/>
    <w:rsid w:val="00E52BA7"/>
    <w:rsid w:val="00E81629"/>
    <w:rsid w:val="00EA07BE"/>
    <w:rsid w:val="00EA1B3D"/>
    <w:rsid w:val="00ED6FF1"/>
    <w:rsid w:val="00EE0CB7"/>
    <w:rsid w:val="00EE44AE"/>
    <w:rsid w:val="00EE7535"/>
    <w:rsid w:val="00F00C4D"/>
    <w:rsid w:val="00F02327"/>
    <w:rsid w:val="00F07385"/>
    <w:rsid w:val="00F15F9C"/>
    <w:rsid w:val="00F160A2"/>
    <w:rsid w:val="00F2599D"/>
    <w:rsid w:val="00F27B7C"/>
    <w:rsid w:val="00F33B16"/>
    <w:rsid w:val="00F34A38"/>
    <w:rsid w:val="00F447A7"/>
    <w:rsid w:val="00F60A5A"/>
    <w:rsid w:val="00F81737"/>
    <w:rsid w:val="00F81F0D"/>
    <w:rsid w:val="00F85C2D"/>
    <w:rsid w:val="00FA4DF5"/>
    <w:rsid w:val="00FB4D79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C846657-C195-42C0-A5D9-DADCE23B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">
    <w:name w:val="Знак Знак9 Знак Знак Знак 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styleId="a3">
    <w:name w:val="Body Text"/>
    <w:basedOn w:val="a"/>
    <w:link w:val="10"/>
    <w:pPr>
      <w:jc w:val="both"/>
    </w:pPr>
    <w:rPr>
      <w:sz w:val="28"/>
    </w:rPr>
  </w:style>
  <w:style w:type="paragraph" w:customStyle="1" w:styleId="xl24">
    <w:name w:val="xl24"/>
    <w:basedOn w:val="a"/>
    <w:pPr>
      <w:spacing w:before="100" w:after="100"/>
    </w:pPr>
    <w:rPr>
      <w:rFonts w:ascii="Arial" w:hAnsi="Arial"/>
      <w:b/>
      <w:sz w:val="24"/>
    </w:rPr>
  </w:style>
  <w:style w:type="paragraph" w:styleId="12">
    <w:name w:val="toc 1"/>
    <w:basedOn w:val="a"/>
    <w:next w:val="a"/>
    <w:pPr>
      <w:tabs>
        <w:tab w:val="right" w:leader="dot" w:pos="9180"/>
      </w:tabs>
      <w:ind w:right="741"/>
      <w:jc w:val="both"/>
    </w:pPr>
    <w:rPr>
      <w:noProof/>
      <w:sz w:val="26"/>
    </w:rPr>
  </w:style>
  <w:style w:type="paragraph" w:styleId="a4">
    <w:name w:val="Body Text Indent"/>
    <w:basedOn w:val="a"/>
    <w:link w:val="13"/>
    <w:pPr>
      <w:jc w:val="center"/>
    </w:pPr>
    <w:rPr>
      <w:b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ind w:right="509"/>
      <w:jc w:val="both"/>
    </w:pPr>
    <w:rPr>
      <w:sz w:val="24"/>
    </w:rPr>
  </w:style>
  <w:style w:type="paragraph" w:styleId="32">
    <w:name w:val="Body Text Indent 3"/>
    <w:basedOn w:val="a"/>
    <w:link w:val="33"/>
    <w:pPr>
      <w:ind w:firstLine="708"/>
      <w:jc w:val="both"/>
    </w:pPr>
    <w:rPr>
      <w:sz w:val="24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ind w:right="19772" w:firstLine="720"/>
    </w:pPr>
    <w:rPr>
      <w:rFonts w:ascii="Arial" w:hAnsi="Arial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customStyle="1" w:styleId="xl29">
    <w:name w:val="xl29"/>
    <w:basedOn w:val="a"/>
    <w:pPr>
      <w:pBdr>
        <w:left w:val="single" w:sz="8" w:space="0" w:color="auto"/>
        <w:right w:val="single" w:sz="8" w:space="0" w:color="auto"/>
      </w:pBdr>
      <w:spacing w:before="100" w:after="100"/>
    </w:pPr>
    <w:rPr>
      <w:sz w:val="24"/>
    </w:rPr>
  </w:style>
  <w:style w:type="paragraph" w:styleId="a9">
    <w:name w:val="Balloon Text"/>
    <w:basedOn w:val="a"/>
    <w:link w:val="aa"/>
    <w:semiHidden/>
    <w:rPr>
      <w:rFonts w:ascii="Tahoma" w:hAnsi="Tahoma"/>
      <w:sz w:val="16"/>
    </w:rPr>
  </w:style>
  <w:style w:type="paragraph" w:customStyle="1" w:styleId="ab">
    <w:name w:val="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paragraph" w:customStyle="1" w:styleId="ac">
    <w:name w:val="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customStyle="1" w:styleId="14">
    <w:name w:val="Знак Знак Знак Знак Знак Знак Знак Знак Знак Знак Знак Знак Знак1"/>
    <w:basedOn w:val="a"/>
    <w:pPr>
      <w:spacing w:after="160" w:line="240" w:lineRule="exact"/>
    </w:pPr>
    <w:rPr>
      <w:rFonts w:ascii="Verdana" w:hAnsi="Verdana"/>
    </w:rPr>
  </w:style>
  <w:style w:type="paragraph" w:customStyle="1" w:styleId="25">
    <w:name w:val="Знак Знак Знак Знак Знак Знак Знак Знак Знак Знак Знак Знак Знак2"/>
    <w:basedOn w:val="a"/>
    <w:pPr>
      <w:spacing w:after="160" w:line="240" w:lineRule="exact"/>
    </w:pPr>
    <w:rPr>
      <w:rFonts w:ascii="Verdana" w:hAnsi="Verdana"/>
    </w:rPr>
  </w:style>
  <w:style w:type="paragraph" w:customStyle="1" w:styleId="34">
    <w:name w:val="Знак Знак Знак Знак Знак Знак Знак Знак Знак Знак Знак Знак Знак3"/>
    <w:basedOn w:val="a"/>
    <w:pPr>
      <w:spacing w:after="160" w:line="240" w:lineRule="exact"/>
    </w:pPr>
    <w:rPr>
      <w:rFonts w:ascii="Verdana" w:hAnsi="Verdana"/>
    </w:rPr>
  </w:style>
  <w:style w:type="paragraph" w:customStyle="1" w:styleId="ad">
    <w:name w:val="Знак"/>
    <w:basedOn w:val="a"/>
    <w:pPr>
      <w:spacing w:after="160" w:line="240" w:lineRule="exact"/>
    </w:pPr>
    <w:rPr>
      <w:rFonts w:ascii="Verdana" w:hAnsi="Verdan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15">
    <w:name w:val="Основной текст с отступом1"/>
    <w:basedOn w:val="a"/>
    <w:link w:val="ae"/>
    <w:pPr>
      <w:jc w:val="center"/>
    </w:pPr>
    <w:rPr>
      <w:b/>
      <w:sz w:val="28"/>
    </w:rPr>
  </w:style>
  <w:style w:type="paragraph" w:customStyle="1" w:styleId="16">
    <w:name w:val="Знак1"/>
    <w:basedOn w:val="a"/>
    <w:pPr>
      <w:spacing w:after="160" w:line="240" w:lineRule="exact"/>
    </w:pPr>
    <w:rPr>
      <w:rFonts w:ascii="Verdana" w:hAnsi="Verdana"/>
    </w:rPr>
  </w:style>
  <w:style w:type="paragraph" w:customStyle="1" w:styleId="Style1">
    <w:name w:val="Style1"/>
    <w:basedOn w:val="a"/>
    <w:pPr>
      <w:widowControl w:val="0"/>
      <w:spacing w:line="233" w:lineRule="exact"/>
      <w:jc w:val="center"/>
    </w:pPr>
    <w:rPr>
      <w:sz w:val="24"/>
    </w:rPr>
  </w:style>
  <w:style w:type="paragraph" w:customStyle="1" w:styleId="Style4">
    <w:name w:val="Style4"/>
    <w:basedOn w:val="a"/>
    <w:pPr>
      <w:widowControl w:val="0"/>
      <w:spacing w:line="298" w:lineRule="exact"/>
      <w:ind w:firstLine="336"/>
      <w:jc w:val="both"/>
    </w:pPr>
    <w:rPr>
      <w:sz w:val="24"/>
    </w:rPr>
  </w:style>
  <w:style w:type="paragraph" w:customStyle="1" w:styleId="Style5">
    <w:name w:val="Style5"/>
    <w:basedOn w:val="a"/>
    <w:pPr>
      <w:widowControl w:val="0"/>
      <w:spacing w:line="296" w:lineRule="exact"/>
    </w:pPr>
    <w:rPr>
      <w:sz w:val="24"/>
    </w:rPr>
  </w:style>
  <w:style w:type="paragraph" w:customStyle="1" w:styleId="Style6">
    <w:name w:val="Style6"/>
    <w:basedOn w:val="a"/>
    <w:pPr>
      <w:widowControl w:val="0"/>
      <w:spacing w:line="298" w:lineRule="exact"/>
      <w:ind w:hanging="331"/>
    </w:pPr>
    <w:rPr>
      <w:sz w:val="24"/>
    </w:rPr>
  </w:style>
  <w:style w:type="paragraph" w:customStyle="1" w:styleId="ConsPlusTitle">
    <w:name w:val="ConsPlusTitle"/>
    <w:pPr>
      <w:widowControl w:val="0"/>
    </w:pPr>
    <w:rPr>
      <w:b/>
      <w:sz w:val="24"/>
    </w:rPr>
  </w:style>
  <w:style w:type="paragraph" w:styleId="af">
    <w:name w:val="Normal (Web)"/>
    <w:basedOn w:val="a"/>
    <w:link w:val="af0"/>
    <w:rPr>
      <w:sz w:val="24"/>
    </w:rPr>
  </w:style>
  <w:style w:type="paragraph" w:styleId="26">
    <w:name w:val="toc 2"/>
    <w:basedOn w:val="a"/>
    <w:next w:val="a"/>
    <w:pPr>
      <w:tabs>
        <w:tab w:val="right" w:leader="dot" w:pos="9180"/>
      </w:tabs>
      <w:ind w:left="200" w:right="-81"/>
    </w:pPr>
    <w:rPr>
      <w:noProof/>
    </w:rPr>
  </w:style>
  <w:style w:type="paragraph" w:styleId="af1">
    <w:name w:val="Title"/>
    <w:basedOn w:val="a"/>
    <w:qFormat/>
    <w:pPr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customStyle="1" w:styleId="17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customStyle="1" w:styleId="Style11">
    <w:name w:val="Style11"/>
    <w:basedOn w:val="a"/>
    <w:pPr>
      <w:widowControl w:val="0"/>
      <w:spacing w:line="288" w:lineRule="exact"/>
      <w:jc w:val="both"/>
    </w:pPr>
    <w:rPr>
      <w:sz w:val="24"/>
    </w:rPr>
  </w:style>
  <w:style w:type="paragraph" w:customStyle="1" w:styleId="af3">
    <w:name w:val="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</w:rPr>
  </w:style>
  <w:style w:type="paragraph" w:customStyle="1" w:styleId="110">
    <w:name w:val="Знак11"/>
    <w:basedOn w:val="a"/>
    <w:next w:val="a"/>
    <w:semiHidden/>
    <w:pPr>
      <w:spacing w:after="160" w:line="240" w:lineRule="exact"/>
    </w:pPr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Style10">
    <w:name w:val="Style10"/>
    <w:basedOn w:val="a"/>
    <w:pPr>
      <w:widowControl w:val="0"/>
      <w:spacing w:line="282" w:lineRule="exact"/>
    </w:pPr>
    <w:rPr>
      <w:sz w:val="24"/>
    </w:rPr>
  </w:style>
  <w:style w:type="paragraph" w:customStyle="1" w:styleId="27">
    <w:name w:val="Знак2"/>
    <w:basedOn w:val="a"/>
    <w:pPr>
      <w:spacing w:after="160" w:line="240" w:lineRule="exact"/>
    </w:pPr>
    <w:rPr>
      <w:rFonts w:ascii="Verdana" w:hAnsi="Verdana"/>
    </w:rPr>
  </w:style>
  <w:style w:type="paragraph" w:styleId="HTML1">
    <w:name w:val="HTML Address"/>
    <w:basedOn w:val="a"/>
    <w:rPr>
      <w:i/>
      <w:sz w:val="24"/>
    </w:rPr>
  </w:style>
  <w:style w:type="paragraph" w:customStyle="1" w:styleId="af4">
    <w:name w:val="Таблицы (моноширинный)"/>
    <w:basedOn w:val="a"/>
    <w:next w:val="a"/>
    <w:pPr>
      <w:widowControl w:val="0"/>
      <w:jc w:val="both"/>
    </w:pPr>
    <w:rPr>
      <w:rFonts w:ascii="Courier New" w:hAnsi="Courier New"/>
      <w:sz w:val="22"/>
    </w:rPr>
  </w:style>
  <w:style w:type="paragraph" w:customStyle="1" w:styleId="Style9">
    <w:name w:val="Style9"/>
    <w:basedOn w:val="a"/>
    <w:pPr>
      <w:widowControl w:val="0"/>
    </w:pPr>
    <w:rPr>
      <w:sz w:val="24"/>
    </w:rPr>
  </w:style>
  <w:style w:type="paragraph" w:styleId="af5">
    <w:name w:val="No Spacing"/>
    <w:qFormat/>
    <w:rPr>
      <w:rFonts w:ascii="Calibri" w:hAnsi="Calibri"/>
      <w:sz w:val="22"/>
    </w:rPr>
  </w:style>
  <w:style w:type="paragraph" w:customStyle="1" w:styleId="ConsPlusCell">
    <w:name w:val="ConsPlusCell"/>
    <w:pPr>
      <w:widowControl w:val="0"/>
    </w:pPr>
    <w:rPr>
      <w:sz w:val="24"/>
    </w:rPr>
  </w:style>
  <w:style w:type="paragraph" w:customStyle="1" w:styleId="af6">
    <w:name w:val="Таблица: текст"/>
    <w:basedOn w:val="a"/>
    <w:link w:val="af7"/>
    <w:pPr>
      <w:jc w:val="both"/>
    </w:pPr>
    <w:rPr>
      <w:sz w:val="22"/>
    </w:rPr>
  </w:style>
  <w:style w:type="paragraph" w:customStyle="1" w:styleId="af8">
    <w:name w:val="Номер"/>
    <w:basedOn w:val="a"/>
    <w:pPr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pPr>
      <w:spacing w:after="160" w:line="240" w:lineRule="exact"/>
    </w:pPr>
    <w:rPr>
      <w:rFonts w:ascii="Verdana" w:hAnsi="Verdana"/>
    </w:rPr>
  </w:style>
  <w:style w:type="paragraph" w:customStyle="1" w:styleId="af9">
    <w:name w:val="Стиль Знак Знак Знак Знак Знак Знак Знак Знак Знак Знак Знак"/>
    <w:basedOn w:val="a"/>
    <w:pPr>
      <w:widowControl w:val="0"/>
      <w:spacing w:after="160" w:line="240" w:lineRule="exact"/>
      <w:jc w:val="right"/>
    </w:p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rPr>
      <w:color w:val="000000"/>
      <w:sz w:val="24"/>
    </w:rPr>
  </w:style>
  <w:style w:type="paragraph" w:styleId="afb">
    <w:name w:val="caption"/>
    <w:basedOn w:val="a"/>
    <w:next w:val="a"/>
    <w:qFormat/>
    <w:pPr>
      <w:spacing w:after="200"/>
    </w:pPr>
    <w:rPr>
      <w:i/>
      <w:color w:val="44546A"/>
      <w:sz w:val="18"/>
    </w:rPr>
  </w:style>
  <w:style w:type="paragraph" w:customStyle="1" w:styleId="ParagraphStyle">
    <w:name w:val="Paragraph Style"/>
    <w:rPr>
      <w:rFonts w:ascii="Arial" w:hAnsi="Arial"/>
      <w:sz w:val="24"/>
    </w:rPr>
  </w:style>
  <w:style w:type="character" w:styleId="afc">
    <w:name w:val="line number"/>
    <w:basedOn w:val="a0"/>
    <w:semiHidden/>
  </w:style>
  <w:style w:type="character" w:styleId="afd">
    <w:name w:val="Hyperlink"/>
    <w:rPr>
      <w:color w:val="0000FF"/>
      <w:u w:val="single"/>
    </w:rPr>
  </w:style>
  <w:style w:type="character" w:customStyle="1" w:styleId="11">
    <w:name w:val="Заголовок 1 Знак1"/>
    <w:link w:val="1"/>
    <w:rPr>
      <w:rFonts w:ascii="Arial" w:hAnsi="Arial"/>
      <w:b/>
      <w:sz w:val="32"/>
    </w:rPr>
  </w:style>
  <w:style w:type="character" w:customStyle="1" w:styleId="20">
    <w:name w:val="Заголовок 2 Знак"/>
    <w:link w:val="2"/>
    <w:rPr>
      <w:rFonts w:ascii="Arial" w:hAnsi="Arial"/>
      <w:b/>
      <w:i/>
      <w:sz w:val="28"/>
    </w:rPr>
  </w:style>
  <w:style w:type="character" w:customStyle="1" w:styleId="10">
    <w:name w:val="Основной текст Знак1"/>
    <w:link w:val="a3"/>
    <w:semiHidden/>
    <w:rPr>
      <w:sz w:val="28"/>
    </w:rPr>
  </w:style>
  <w:style w:type="character" w:customStyle="1" w:styleId="13">
    <w:name w:val="Основной текст с отступом Знак1"/>
    <w:link w:val="a4"/>
    <w:semiHidden/>
    <w:rPr>
      <w:b/>
      <w:sz w:val="28"/>
    </w:rPr>
  </w:style>
  <w:style w:type="character" w:customStyle="1" w:styleId="a6">
    <w:name w:val="Верхний колонтитул Знак"/>
    <w:link w:val="a5"/>
    <w:semiHidden/>
  </w:style>
  <w:style w:type="character" w:customStyle="1" w:styleId="31">
    <w:name w:val="Основной текст 3 Знак"/>
    <w:link w:val="30"/>
    <w:semiHidden/>
    <w:rPr>
      <w:sz w:val="24"/>
    </w:rPr>
  </w:style>
  <w:style w:type="character" w:customStyle="1" w:styleId="33">
    <w:name w:val="Основной текст с отступом 3 Знак"/>
    <w:link w:val="32"/>
    <w:semiHidden/>
    <w:rPr>
      <w:sz w:val="24"/>
    </w:rPr>
  </w:style>
  <w:style w:type="character" w:styleId="afe">
    <w:name w:val="page number"/>
  </w:style>
  <w:style w:type="character" w:customStyle="1" w:styleId="a8">
    <w:name w:val="Нижний колонтитул Знак"/>
    <w:link w:val="a7"/>
    <w:semiHidden/>
  </w:style>
  <w:style w:type="character" w:customStyle="1" w:styleId="22">
    <w:name w:val="Основной текст 2 Знак"/>
    <w:link w:val="21"/>
    <w:semiHidden/>
  </w:style>
  <w:style w:type="character" w:customStyle="1" w:styleId="aa">
    <w:name w:val="Текст выноски Знак"/>
    <w:link w:val="a9"/>
    <w:semiHidden/>
    <w:rPr>
      <w:rFonts w:ascii="Tahoma" w:hAnsi="Tahoma"/>
      <w:sz w:val="16"/>
    </w:rPr>
  </w:style>
  <w:style w:type="character" w:customStyle="1" w:styleId="24">
    <w:name w:val="Основной текст с отступом 2 Знак"/>
    <w:link w:val="23"/>
    <w:semiHidden/>
  </w:style>
  <w:style w:type="character" w:customStyle="1" w:styleId="18">
    <w:name w:val="Заголовок 1 Знак"/>
    <w:rPr>
      <w:rFonts w:ascii="Arial" w:hAnsi="Arial"/>
      <w:b/>
      <w:sz w:val="32"/>
    </w:rPr>
  </w:style>
  <w:style w:type="character" w:customStyle="1" w:styleId="aff">
    <w:name w:val="Основной текст Знак"/>
    <w:semiHidden/>
  </w:style>
  <w:style w:type="character" w:customStyle="1" w:styleId="ae">
    <w:name w:val="Основной текст с отступом Знак"/>
    <w:link w:val="15"/>
    <w:semiHidden/>
    <w:rPr>
      <w:b/>
      <w:sz w:val="28"/>
    </w:rPr>
  </w:style>
  <w:style w:type="character" w:customStyle="1" w:styleId="FontStyle12">
    <w:name w:val="Font Style12"/>
    <w:rPr>
      <w:rFonts w:ascii="Times New Roman" w:hAnsi="Times New Roman"/>
      <w:b/>
      <w:sz w:val="16"/>
    </w:rPr>
  </w:style>
  <w:style w:type="character" w:customStyle="1" w:styleId="FontStyle16">
    <w:name w:val="Font Style16"/>
    <w:rPr>
      <w:rFonts w:ascii="Times New Roman" w:hAnsi="Times New Roman"/>
      <w:sz w:val="24"/>
    </w:rPr>
  </w:style>
  <w:style w:type="character" w:customStyle="1" w:styleId="100">
    <w:name w:val="Знак Знак10"/>
    <w:rPr>
      <w:rFonts w:ascii="Arial" w:hAnsi="Arial"/>
      <w:b/>
      <w:sz w:val="32"/>
    </w:rPr>
  </w:style>
  <w:style w:type="character" w:styleId="aff0">
    <w:name w:val="Emphasis"/>
    <w:qFormat/>
    <w:rPr>
      <w:i/>
    </w:rPr>
  </w:style>
  <w:style w:type="character" w:customStyle="1" w:styleId="af0">
    <w:name w:val="Обычный (веб) Знак"/>
    <w:link w:val="af"/>
    <w:rPr>
      <w:sz w:val="24"/>
    </w:rPr>
  </w:style>
  <w:style w:type="character" w:customStyle="1" w:styleId="FontStyle13">
    <w:name w:val="Font Style13"/>
    <w:rPr>
      <w:rFonts w:ascii="Times New Roman" w:hAnsi="Times New Roman"/>
      <w:sz w:val="26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нак Знак12"/>
    <w:rPr>
      <w:rFonts w:ascii="Arial" w:hAnsi="Arial"/>
      <w:b/>
      <w:sz w:val="32"/>
    </w:rPr>
  </w:style>
  <w:style w:type="character" w:customStyle="1" w:styleId="28">
    <w:name w:val="Знак Знак2"/>
    <w:rPr>
      <w:rFonts w:ascii="Calibri" w:hAnsi="Calibri"/>
      <w:sz w:val="28"/>
    </w:rPr>
  </w:style>
  <w:style w:type="character" w:customStyle="1" w:styleId="af7">
    <w:name w:val="Таблица: текст Знак"/>
    <w:link w:val="af6"/>
    <w:rPr>
      <w:sz w:val="22"/>
    </w:rPr>
  </w:style>
  <w:style w:type="character" w:customStyle="1" w:styleId="112">
    <w:name w:val="Знак Знак11"/>
    <w:rPr>
      <w:rFonts w:ascii="Arial" w:hAnsi="Arial"/>
      <w:b/>
      <w:i/>
      <w:sz w:val="28"/>
    </w:rPr>
  </w:style>
  <w:style w:type="character" w:customStyle="1" w:styleId="60">
    <w:name w:val="Знак Знак6"/>
    <w:semiHidden/>
    <w:rPr>
      <w:sz w:val="24"/>
    </w:rPr>
  </w:style>
  <w:style w:type="character" w:customStyle="1" w:styleId="70">
    <w:name w:val="Знак Знак7"/>
    <w:semiHidden/>
    <w:rPr>
      <w:sz w:val="24"/>
    </w:rPr>
  </w:style>
  <w:style w:type="character" w:styleId="aff1">
    <w:name w:val="FollowedHyperlink"/>
    <w:basedOn w:val="a0"/>
    <w:rPr>
      <w:color w:val="954F72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table" w:styleId="1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kremlin.ru/news/15233" TargetMode="External"/><Relationship Id="rId18" Type="http://schemas.openxmlformats.org/officeDocument/2006/relationships/hyperlink" Target="http://adm.gov86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chart" Target="charts/chart4.xml"/><Relationship Id="rId17" Type="http://schemas.openxmlformats.org/officeDocument/2006/relationships/hyperlink" Target="http://adm.gov86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.gov86.or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.gov86.org/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://ok.ru/gorod.pytyakh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://kremlin.ru/news/15257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Отгружено</a:t>
            </a:r>
            <a:r>
              <a:rPr lang="ru-RU" baseline="0"/>
              <a:t> товаров собственного</a:t>
            </a:r>
            <a:r>
              <a:rPr lang="ru-RU"/>
              <a:t> производства, выполнено работ, услуг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1"/>
                <c:pt idx="0">
                  <c:v>21514.9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Лист1!$C$2:$C$6</c:f>
              <c:numCache>
                <c:formatCode>0.00</c:formatCode>
                <c:ptCount val="1"/>
                <c:pt idx="0">
                  <c:v>21029.77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711432"/>
        <c:axId val="142711824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1"/>
                      <c:pt idx="0">
                        <c:v>12 месяцев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#,##0.00</c:formatCode>
                      <c:ptCount val="1"/>
                      <c:pt idx="0">
                        <c:v>36656.199999999997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142711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711824"/>
        <c:crosses val="autoZero"/>
        <c:auto val="1"/>
        <c:lblAlgn val="ctr"/>
        <c:lblOffset val="100"/>
        <c:noMultiLvlLbl val="0"/>
      </c:catAx>
      <c:valAx>
        <c:axId val="142711824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711432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Лист1!$B$2:$B$5</c:f>
              <c:numCache>
                <c:formatCode>#\ ##0.0</c:formatCode>
                <c:ptCount val="1"/>
                <c:pt idx="0">
                  <c:v>122.069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Лист1!$C$2:$C$5</c:f>
              <c:numCache>
                <c:formatCode>#\ ##0.0</c:formatCode>
                <c:ptCount val="1"/>
                <c:pt idx="0">
                  <c:v>149.4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Лист1!$D$2:$D$5</c:f>
              <c:numCache>
                <c:formatCode>#\ ##0.0</c:formatCode>
                <c:ptCount val="1"/>
                <c:pt idx="0">
                  <c:v>441.6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87157024"/>
        <c:axId val="287157416"/>
      </c:barChart>
      <c:catAx>
        <c:axId val="28715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157416"/>
        <c:crosses val="autoZero"/>
        <c:auto val="1"/>
        <c:lblAlgn val="ctr"/>
        <c:lblOffset val="100"/>
        <c:noMultiLvlLbl val="0"/>
      </c:catAx>
      <c:valAx>
        <c:axId val="287157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15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583842946027688"/>
          <c:y val="0.90441795737071329"/>
          <c:w val="0.42832280799925387"/>
          <c:h val="6.8109515156759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265.7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222.4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200.4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87158200"/>
        <c:axId val="287158592"/>
      </c:barChart>
      <c:catAx>
        <c:axId val="287158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158592"/>
        <c:crosses val="autoZero"/>
        <c:auto val="1"/>
        <c:lblAlgn val="ctr"/>
        <c:lblOffset val="100"/>
        <c:noMultiLvlLbl val="0"/>
      </c:catAx>
      <c:valAx>
        <c:axId val="28715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158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038371068668314E-2"/>
          <c:y val="0.2012297734627832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2"/>
                <c:pt idx="0">
                  <c:v>219</c:v>
                </c:pt>
                <c:pt idx="1">
                  <c:v>278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2"/>
                <c:pt idx="0">
                  <c:v>516</c:v>
                </c:pt>
                <c:pt idx="1">
                  <c:v>495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7159376"/>
        <c:axId val="287159768"/>
        <c:axId val="0"/>
        <c:extLst/>
      </c:bar3DChart>
      <c:catAx>
        <c:axId val="28715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159768"/>
        <c:crosses val="autoZero"/>
        <c:auto val="1"/>
        <c:lblAlgn val="ctr"/>
        <c:lblOffset val="100"/>
        <c:noMultiLvlLbl val="0"/>
      </c:catAx>
      <c:valAx>
        <c:axId val="287159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15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МСП федеральным получателям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2"/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МСП региональным получателям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Лист1!$C$2:$C$10</c:f>
              <c:numCache>
                <c:formatCode>#\ ##0.0</c:formatCode>
                <c:ptCount val="2"/>
                <c:pt idx="0">
                  <c:v>56601.2</c:v>
                </c:pt>
                <c:pt idx="1">
                  <c:v>56727.5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МСП многодетным семьям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Лист1!$D$2:$D$10</c:f>
              <c:numCache>
                <c:formatCode>#\ ##0.0</c:formatCode>
                <c:ptCount val="2"/>
                <c:pt idx="0">
                  <c:v>68895.899999999994</c:v>
                </c:pt>
                <c:pt idx="1">
                  <c:v>97432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субсидии на оплату ЖКУ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2"/>
                <c:pt idx="0">
                  <c:v>2019</c:v>
                </c:pt>
                <c:pt idx="1">
                  <c:v>2020</c:v>
                </c:pt>
              </c:strCache>
            </c:strRef>
          </c:cat>
          <c:val>
            <c:numRef>
              <c:f>Лист1!$E$2:$E$10</c:f>
              <c:numCache>
                <c:formatCode>#\ ##0.0</c:formatCode>
                <c:ptCount val="2"/>
                <c:pt idx="0">
                  <c:v>21170.5</c:v>
                </c:pt>
                <c:pt idx="1">
                  <c:v>23827.599999999999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77755920"/>
        <c:axId val="277756312"/>
        <c:axId val="0"/>
      </c:bar3DChart>
      <c:catAx>
        <c:axId val="27775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756312"/>
        <c:crosses val="autoZero"/>
        <c:auto val="1"/>
        <c:lblAlgn val="ctr"/>
        <c:lblOffset val="100"/>
        <c:noMultiLvlLbl val="0"/>
      </c:catAx>
      <c:valAx>
        <c:axId val="277756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75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28</Pages>
  <Words>10541</Words>
  <Characters>60089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Евгений Келлер</cp:lastModifiedBy>
  <cp:revision>154</cp:revision>
  <cp:lastPrinted>2021-01-28T05:30:00Z</cp:lastPrinted>
  <dcterms:created xsi:type="dcterms:W3CDTF">2020-10-20T04:40:00Z</dcterms:created>
  <dcterms:modified xsi:type="dcterms:W3CDTF">2021-01-28T06:20:00Z</dcterms:modified>
</cp:coreProperties>
</file>