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1E" w:rsidRDefault="00AF5A1E">
      <w:pPr>
        <w:pStyle w:val="ConsPlusNormal"/>
        <w:jc w:val="right"/>
        <w:outlineLvl w:val="0"/>
      </w:pPr>
      <w:r>
        <w:t>Приложение 25</w:t>
      </w:r>
    </w:p>
    <w:p w:rsidR="00AF5A1E" w:rsidRDefault="00AF5A1E">
      <w:pPr>
        <w:pStyle w:val="ConsPlusNormal"/>
        <w:jc w:val="right"/>
      </w:pPr>
      <w:r>
        <w:t>к постановлению Правительства Ханты-Мансийского</w:t>
      </w:r>
    </w:p>
    <w:p w:rsidR="00AF5A1E" w:rsidRDefault="00AF5A1E">
      <w:pPr>
        <w:pStyle w:val="ConsPlusNormal"/>
        <w:jc w:val="right"/>
      </w:pPr>
      <w:r>
        <w:t>автономного округа - Югры</w:t>
      </w:r>
    </w:p>
    <w:p w:rsidR="00AF5A1E" w:rsidRDefault="00AF5A1E">
      <w:pPr>
        <w:pStyle w:val="ConsPlusNormal"/>
        <w:jc w:val="right"/>
      </w:pPr>
      <w:r>
        <w:t>от 30 декабря 2021 года N 634-п</w:t>
      </w:r>
    </w:p>
    <w:p w:rsidR="00AF5A1E" w:rsidRDefault="00AF5A1E">
      <w:pPr>
        <w:pStyle w:val="ConsPlusNormal"/>
      </w:pPr>
    </w:p>
    <w:p w:rsidR="00AF5A1E" w:rsidRDefault="00AF5A1E">
      <w:pPr>
        <w:pStyle w:val="ConsPlusTitle"/>
        <w:jc w:val="center"/>
      </w:pPr>
      <w:r>
        <w:t>РЕГИОНАЛЬНАЯ ПРОГРАММА</w:t>
      </w:r>
    </w:p>
    <w:p w:rsidR="00AF5A1E" w:rsidRDefault="00AF5A1E">
      <w:pPr>
        <w:pStyle w:val="ConsPlusTitle"/>
        <w:jc w:val="center"/>
      </w:pPr>
      <w:r>
        <w:t>"ПОВЫШЕНИЕ ФИНАНСОВОЙ ГРАМОТНОСТИ НАСЕЛЕНИЯ</w:t>
      </w:r>
    </w:p>
    <w:p w:rsidR="00AF5A1E" w:rsidRDefault="00AF5A1E">
      <w:pPr>
        <w:pStyle w:val="ConsPlusTitle"/>
        <w:jc w:val="center"/>
      </w:pPr>
      <w:r>
        <w:t>ХАНТЫ-МАНСИЙСКОГО АВТОНОМНОГО ОКРУГА - ЮГРЫ</w:t>
      </w:r>
    </w:p>
    <w:p w:rsidR="00AF5A1E" w:rsidRDefault="00AF5A1E">
      <w:pPr>
        <w:pStyle w:val="ConsPlusTitle"/>
        <w:jc w:val="center"/>
      </w:pPr>
      <w:r>
        <w:t>НА 2022 - 2030 ГОДЫ"</w:t>
      </w:r>
    </w:p>
    <w:p w:rsidR="00AF5A1E" w:rsidRDefault="00AF5A1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5A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A1E" w:rsidRDefault="00AF5A1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A1E" w:rsidRDefault="00AF5A1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5A1E" w:rsidRDefault="00AF5A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A1E" w:rsidRDefault="00AF5A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20.05.2022 N 211-п)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A1E" w:rsidRDefault="00AF5A1E">
            <w:pPr>
              <w:spacing w:after="1" w:line="0" w:lineRule="atLeast"/>
            </w:pPr>
          </w:p>
        </w:tc>
      </w:tr>
    </w:tbl>
    <w:p w:rsidR="00AF5A1E" w:rsidRDefault="00AF5A1E">
      <w:pPr>
        <w:pStyle w:val="ConsPlusNormal"/>
      </w:pPr>
    </w:p>
    <w:p w:rsidR="00AF5A1E" w:rsidRDefault="00AF5A1E">
      <w:pPr>
        <w:pStyle w:val="ConsPlusTitle"/>
        <w:jc w:val="center"/>
        <w:outlineLvl w:val="1"/>
      </w:pPr>
      <w:r>
        <w:t>Паспорт региональной программы "Повышение финансовой</w:t>
      </w:r>
    </w:p>
    <w:p w:rsidR="00AF5A1E" w:rsidRDefault="00AF5A1E">
      <w:pPr>
        <w:pStyle w:val="ConsPlusTitle"/>
        <w:jc w:val="center"/>
      </w:pPr>
      <w:r>
        <w:t>грамотности населения Ханты-Мансийского автономного</w:t>
      </w:r>
    </w:p>
    <w:p w:rsidR="00AF5A1E" w:rsidRDefault="00AF5A1E">
      <w:pPr>
        <w:pStyle w:val="ConsPlusTitle"/>
        <w:jc w:val="center"/>
      </w:pPr>
      <w:r>
        <w:t>округа - Югры на 2022 - 2030 годы" (далее - Программа)</w:t>
      </w:r>
    </w:p>
    <w:p w:rsidR="00AF5A1E" w:rsidRDefault="00AF5A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21"/>
      </w:tblGrid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Основание создания и реализации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hyperlink r:id="rId5" w:history="1">
              <w:r>
                <w:rPr>
                  <w:color w:val="0000FF"/>
                </w:rPr>
                <w:t>Стратегия</w:t>
              </w:r>
            </w:hyperlink>
            <w:r>
              <w:t xml:space="preserve"> повышения финансовой грамотности в Российской Федерации на 2017 - 2023 годы, утвержденная распоряжением Правительства Российской Федерации от 25 сентября 2017 года N 2039-р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Заказчик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Правительство Ханты-Мансийского автономного округа - Югры (далее также - автономный округ)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Координаторы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Департамент финансов автономного округа (далее - Депфин Югры); Отделение по Тюменской области Уральского главного управления Центрального банка Российской Федерации (далее - Отделение Банка России)</w:t>
            </w:r>
          </w:p>
        </w:tc>
      </w:tr>
      <w:tr w:rsidR="00AF5A1E"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 w:rsidR="00AF5A1E" w:rsidRDefault="00AF5A1E">
            <w:pPr>
              <w:pStyle w:val="ConsPlusNormal"/>
            </w:pPr>
            <w:r>
              <w:t>Ответственные исполнители и участники Программы</w:t>
            </w:r>
          </w:p>
        </w:tc>
        <w:tc>
          <w:tcPr>
            <w:tcW w:w="5921" w:type="dxa"/>
            <w:tcBorders>
              <w:bottom w:val="nil"/>
            </w:tcBorders>
          </w:tcPr>
          <w:p w:rsidR="00AF5A1E" w:rsidRDefault="00AF5A1E">
            <w:pPr>
              <w:pStyle w:val="ConsPlusNormal"/>
            </w:pPr>
            <w:r>
              <w:t xml:space="preserve">Департамент образования и науки автономного округа (далее - </w:t>
            </w:r>
            <w:proofErr w:type="spellStart"/>
            <w:r>
              <w:t>Депобразования</w:t>
            </w:r>
            <w:proofErr w:type="spellEnd"/>
            <w:r>
              <w:t xml:space="preserve"> и науки Югры); бюджетное учреждение высшего образования автономного округа "</w:t>
            </w:r>
            <w:proofErr w:type="spellStart"/>
            <w:r>
              <w:t>Сургутский</w:t>
            </w:r>
            <w:proofErr w:type="spellEnd"/>
            <w:r>
              <w:t xml:space="preserve"> государственный университет" (далее - </w:t>
            </w:r>
            <w:proofErr w:type="spellStart"/>
            <w:r>
              <w:t>СурГУ</w:t>
            </w:r>
            <w:proofErr w:type="spellEnd"/>
            <w:r>
              <w:t xml:space="preserve">) (по согласованию); Департамент экономического развития автономного округа (далее - </w:t>
            </w:r>
            <w:proofErr w:type="spellStart"/>
            <w:r>
              <w:t>Депэкономики</w:t>
            </w:r>
            <w:proofErr w:type="spellEnd"/>
            <w:r>
              <w:t xml:space="preserve"> Югры); Департамент социального развития автономного округа (далее - </w:t>
            </w:r>
            <w:proofErr w:type="spellStart"/>
            <w:r>
              <w:t>Депсоцразвития</w:t>
            </w:r>
            <w:proofErr w:type="spellEnd"/>
            <w:r>
              <w:t xml:space="preserve"> Югры); Департамент жилищно-коммунального комплекса и энергетики автономного округа (</w:t>
            </w:r>
            <w:proofErr w:type="spellStart"/>
            <w:r>
              <w:t>Депжкх</w:t>
            </w:r>
            <w:proofErr w:type="spellEnd"/>
            <w:r>
              <w:t xml:space="preserve"> и энергетики Югры); Департамент труда и занятости населения автономного округа (далее - </w:t>
            </w:r>
            <w:proofErr w:type="spellStart"/>
            <w:r>
              <w:t>Дептруда</w:t>
            </w:r>
            <w:proofErr w:type="spellEnd"/>
            <w:r>
              <w:t xml:space="preserve"> и занятости Югры); Департамент общественных, внешних связей и молодежной политики автономного округа (далее - Департамент общественных, внешних связей и молодежи Югры); Департамент информационных технологий и цифрового развития автономного округа (далее - </w:t>
            </w:r>
            <w:proofErr w:type="spellStart"/>
            <w:r>
              <w:t>Депинформтехнологий</w:t>
            </w:r>
            <w:proofErr w:type="spellEnd"/>
            <w:r>
              <w:t xml:space="preserve"> Югры); Фонд поддержки предпринимательства Югры "Мой бизнес" (по согласованию); Депфин Югры; Отделение Банка России (по согласованию); органы местного самоуправления муниципальных образований автономного округа (далее - органы местного самоуправления) (по согласованию); общеобразовательные организации автономного округа </w:t>
            </w:r>
            <w:r>
              <w:lastRenderedPageBreak/>
              <w:t>(далее - общеобразовательные организации) (по согласованию); образовательные организации высшего образования автономного округа (по согласованию); Управление Федеральной службы по надзору в сфере защиты прав потребителей и благополучия человека по автономному округу (по согласованию); Отделение Пенсионного фонда Российской Федерации по автономному округу (по согласованию); Региональное отделение Фонда социального страхования Российской Федерации по автономному округу (по согласованию); Управление Федеральной налоговой службы по автономному округу (по согласованию); Управление Министерства внутренних дел Российской Федерации по автономному округу (по согласованию)</w:t>
            </w:r>
          </w:p>
        </w:tc>
      </w:tr>
      <w:tr w:rsidR="00AF5A1E">
        <w:tblPrEx>
          <w:tblBorders>
            <w:insideH w:val="nil"/>
          </w:tblBorders>
        </w:tblPrEx>
        <w:tc>
          <w:tcPr>
            <w:tcW w:w="8982" w:type="dxa"/>
            <w:gridSpan w:val="2"/>
            <w:tcBorders>
              <w:top w:val="nil"/>
            </w:tcBorders>
          </w:tcPr>
          <w:p w:rsidR="00AF5A1E" w:rsidRDefault="00AF5A1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Цели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повышение уровня финансовой грамотности целевых групп населения автономного округа, содействие в формировании финансово грамотного поведения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Задачи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формирование комплексной системы повышения финансовой грамотности, организация и координация деятельности в сфере повышения финансовой грамотности;</w:t>
            </w:r>
          </w:p>
          <w:p w:rsidR="00AF5A1E" w:rsidRDefault="00AF5A1E">
            <w:pPr>
              <w:pStyle w:val="ConsPlusNormal"/>
            </w:pPr>
            <w:r>
              <w:t>научно-методическое обеспечение и обучение специалистов по вопросам повышения финансовой грамотности населения;</w:t>
            </w:r>
          </w:p>
          <w:p w:rsidR="00AF5A1E" w:rsidRDefault="00AF5A1E">
            <w:pPr>
              <w:pStyle w:val="ConsPlusNormal"/>
            </w:pPr>
            <w:r>
              <w:t>организация и проведение тематических мероприятий по повышению финансовой грамотности для целевых групп и категорий населения автономного округа;</w:t>
            </w:r>
          </w:p>
          <w:p w:rsidR="00AF5A1E" w:rsidRDefault="00AF5A1E">
            <w:pPr>
              <w:pStyle w:val="ConsPlusNormal"/>
            </w:pPr>
            <w:r>
              <w:t>информационное обеспечение мероприятий по повышению финансовой грамотности населения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Важнейшие целевые (контрольные) показатели реализации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1. Численность педагогических работников, участвующих в реализации образовательных программ, включающих основы финансовой грамотности.</w:t>
            </w:r>
          </w:p>
          <w:p w:rsidR="00AF5A1E" w:rsidRDefault="00AF5A1E">
            <w:pPr>
              <w:pStyle w:val="ConsPlusNormal"/>
            </w:pPr>
            <w:r>
              <w:t>2. Доля учащихся общеобразовательных организаций, охваченных мероприятиями Программы.</w:t>
            </w:r>
          </w:p>
          <w:p w:rsidR="00AF5A1E" w:rsidRDefault="00AF5A1E">
            <w:pPr>
              <w:pStyle w:val="ConsPlusNormal"/>
            </w:pPr>
            <w:r>
              <w:t>3. Доля студентов организаций профессионального образования и высшего образования, вовлеченных в образовательные программы и мероприятия по повышению финансовой грамотности.</w:t>
            </w:r>
          </w:p>
          <w:p w:rsidR="00AF5A1E" w:rsidRDefault="00AF5A1E">
            <w:pPr>
              <w:pStyle w:val="ConsPlusNormal"/>
            </w:pPr>
            <w:r>
              <w:t>4. Доля образовательных организаций, внедривших основы финансовой грамотности в образовательные программы.</w:t>
            </w:r>
          </w:p>
          <w:p w:rsidR="00AF5A1E" w:rsidRDefault="00AF5A1E">
            <w:pPr>
              <w:pStyle w:val="ConsPlusNormal"/>
            </w:pPr>
            <w:r>
              <w:t>5. Количество подготовленных педагогических работников образовательных организаций, реализующих образовательные программы по повышению финансовой грамотности.</w:t>
            </w:r>
          </w:p>
          <w:p w:rsidR="00AF5A1E" w:rsidRDefault="00AF5A1E">
            <w:pPr>
              <w:pStyle w:val="ConsPlusNormal"/>
            </w:pPr>
            <w:r>
              <w:t xml:space="preserve">6. Количество подготовленных </w:t>
            </w:r>
            <w:proofErr w:type="spellStart"/>
            <w:r>
              <w:t>тьюторов</w:t>
            </w:r>
            <w:proofErr w:type="spellEnd"/>
            <w:r>
              <w:t>, волонтеров и консультантов в сфере финансовой грамотности.</w:t>
            </w:r>
          </w:p>
          <w:p w:rsidR="00AF5A1E" w:rsidRDefault="00AF5A1E">
            <w:pPr>
              <w:pStyle w:val="ConsPlusNormal"/>
            </w:pPr>
            <w:r>
              <w:t>7. Доля граждан, охваченных информационной кампанией, в том числе за счет социальной рекламы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2022 - 2030 годы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lastRenderedPageBreak/>
              <w:t>Объемы и источники финансового обеспечения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 xml:space="preserve">финансирование Программы осуществляется в пределах основного </w:t>
            </w:r>
            <w:hyperlink r:id="rId7" w:history="1">
              <w:r>
                <w:rPr>
                  <w:color w:val="0000FF"/>
                </w:rPr>
                <w:t>мероприятия 2.7</w:t>
              </w:r>
            </w:hyperlink>
            <w:r>
              <w:t xml:space="preserve"> "Повышение финансовой грамотности" подпрограммы 2 "Общее образование. Дополнительное образование детей" государственной программы автономного округа "Развитие образования", утвержденной постановлением Правительства автономного округа от 31 октября 2021 года N 468-п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Ожидаемые конечные результаты реализации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>1. Увеличение численности педагогических работников, участвующих в реализации образовательных программ, включающих основы финансовой грамотности, с 1971 до 4000 человек.</w:t>
            </w:r>
          </w:p>
          <w:p w:rsidR="00AF5A1E" w:rsidRDefault="00AF5A1E">
            <w:pPr>
              <w:pStyle w:val="ConsPlusNormal"/>
            </w:pPr>
            <w:r>
              <w:t>2. Увеличение доли учащихся общеобразовательных организаций, охваченных мероприятиями Программы, с 6% до 100%.</w:t>
            </w:r>
          </w:p>
          <w:p w:rsidR="00AF5A1E" w:rsidRDefault="00AF5A1E">
            <w:pPr>
              <w:pStyle w:val="ConsPlusNormal"/>
            </w:pPr>
            <w:r>
              <w:t>3. Увеличение доли студентов организаций профессионального образования и высшего образования, вовлеченных в образовательные программы и мероприятия по повышению финансовой грамотности, с 3% до 100%.</w:t>
            </w:r>
          </w:p>
          <w:p w:rsidR="00AF5A1E" w:rsidRDefault="00AF5A1E">
            <w:pPr>
              <w:pStyle w:val="ConsPlusNormal"/>
            </w:pPr>
            <w:r>
              <w:t>4. Увеличение доли дошкольных образовательных организаций, обеспечивших включение элементов финансовой грамотности в образовательные программы, с 12% до 100%.</w:t>
            </w:r>
          </w:p>
          <w:p w:rsidR="00AF5A1E" w:rsidRDefault="00AF5A1E">
            <w:pPr>
              <w:pStyle w:val="ConsPlusNormal"/>
            </w:pPr>
            <w:r>
              <w:t>5. Увеличение количества подготовленных педагогических работников образовательных организаций автономного округа, реализующих образовательные программы по повышению финансовой грамотности, с 825 до 4000 человек.</w:t>
            </w:r>
          </w:p>
          <w:p w:rsidR="00AF5A1E" w:rsidRDefault="00AF5A1E">
            <w:pPr>
              <w:pStyle w:val="ConsPlusNormal"/>
            </w:pPr>
            <w:r>
              <w:t xml:space="preserve">6. Увеличение количества подготовленных </w:t>
            </w:r>
            <w:proofErr w:type="spellStart"/>
            <w:r>
              <w:t>тьюторов</w:t>
            </w:r>
            <w:proofErr w:type="spellEnd"/>
            <w:r>
              <w:t>, волонтеров и консультантов в сфере финансовой грамотности, с 100 до 550 человек.</w:t>
            </w:r>
          </w:p>
          <w:p w:rsidR="00AF5A1E" w:rsidRDefault="00AF5A1E">
            <w:pPr>
              <w:pStyle w:val="ConsPlusNormal"/>
            </w:pPr>
            <w:r>
              <w:t>7. Ежегодный прирост взрослого населения, охваченного информационной поддержкой по вопросам финансовой грамотности и защиты прав потребителей финансовых услуг, с 2% до 50%.</w:t>
            </w:r>
          </w:p>
          <w:p w:rsidR="00AF5A1E" w:rsidRDefault="00AF5A1E">
            <w:pPr>
              <w:pStyle w:val="ConsPlusNormal"/>
            </w:pPr>
            <w:r>
              <w:t>8. Увеличение доли общеобразовательных организаций, обеспечивших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с 50% до 100%.</w:t>
            </w:r>
          </w:p>
          <w:p w:rsidR="00AF5A1E" w:rsidRDefault="00AF5A1E">
            <w:pPr>
              <w:pStyle w:val="ConsPlusNormal"/>
            </w:pPr>
            <w:r>
              <w:t>9. Увеличение доли профессиональных образовательных организаций, обеспечивших включение элементов финансовой грамотности в образовательные программы среднего профессионального образования, с 50% до 100%.</w:t>
            </w:r>
          </w:p>
        </w:tc>
      </w:tr>
      <w:tr w:rsidR="00AF5A1E">
        <w:tc>
          <w:tcPr>
            <w:tcW w:w="3061" w:type="dxa"/>
          </w:tcPr>
          <w:p w:rsidR="00AF5A1E" w:rsidRDefault="00AF5A1E">
            <w:pPr>
              <w:pStyle w:val="ConsPlusNormal"/>
            </w:pPr>
            <w:r>
              <w:t>Целевые группы Программы</w:t>
            </w:r>
          </w:p>
        </w:tc>
        <w:tc>
          <w:tcPr>
            <w:tcW w:w="5921" w:type="dxa"/>
          </w:tcPr>
          <w:p w:rsidR="00AF5A1E" w:rsidRDefault="00AF5A1E">
            <w:pPr>
              <w:pStyle w:val="ConsPlusNormal"/>
            </w:pPr>
            <w:r>
              <w:t xml:space="preserve">воспитанники дошкольных образовательных организаций, обучающиеся образовательных организаций начального общего, основного общего и среднего общего образования, профессиональных образовательных организаций и организаций высшего образования; граждане трудоспособного возраста, в том числе желающие открыть свое дело, субъекты предпринимательской деятельности; </w:t>
            </w:r>
            <w:r>
              <w:lastRenderedPageBreak/>
              <w:t xml:space="preserve">граждане с низким и средним уровнем доходов, граждане пенсионного и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возраста, лица с ограниченными возможностями здоровья, безработные граждане, граждане, ищущие работу, состоящие на учете в органах службы занятости населения и другие заинтересованные категории граждан</w:t>
            </w:r>
          </w:p>
        </w:tc>
      </w:tr>
    </w:tbl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Title"/>
        <w:jc w:val="center"/>
        <w:outlineLvl w:val="1"/>
      </w:pPr>
      <w:r>
        <w:t>Общая характеристика сферы реализации Программы, в том числе</w:t>
      </w:r>
    </w:p>
    <w:p w:rsidR="00AF5A1E" w:rsidRDefault="00AF5A1E">
      <w:pPr>
        <w:pStyle w:val="ConsPlusTitle"/>
        <w:jc w:val="center"/>
      </w:pPr>
      <w:r>
        <w:t>основных проблем, на решение которых направлена Программа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Normal"/>
        <w:ind w:firstLine="540"/>
        <w:jc w:val="both"/>
      </w:pPr>
      <w:r>
        <w:t>Разумное финансовое поведение, основанное на достаточном уровне финансовых знаний, умений и навыков, положительно влияет на повышение уровня благосостояния и финансовой безопасности граждан.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Финансово грамотные граждане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Масштабность задачи по повышению финансовой грамотности населения предполагает участие в ее решении большого количества заинтересованных лиц, где каждый может вносить определенный вклад в развитие данного процесса в пределах своей компетенции. Важным условием эффективности деятельности по повышению финансовой грамотности является координация усилий на основе единых целей и подходов к реализации различных инициатив и программ в области финансового просвещения.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Исходя из данных, полученных в ходе исследований, проводимых в период с 2018 по 2020 годы Аналитическим центром Национального агентства финансовых исследований в условиях проекта "Содействие повышению уровня финансовой грамотности населения и развитию финансового образования в Российской Федерации", реализуемого Министерством финансов Российской Федерации совместно со Всемирным банком, следует, что уровень финансовой грамотности населения - показатель крайне нестабильный. Субъекты Российской Федерации, в которых реализуются мероприятия, направленные на повышение финансовой грамотности, демонстрируют рост или устойчивость показателей.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В целом по совокупности признаков группа россиян с самым высоким уровнем финансовой грамотности выглядит так: мужчины и женщины в возрасте от 30 до 45 лет, работающие, семейные с 1 - 2 детьми, проживающие в городах-</w:t>
      </w:r>
      <w:proofErr w:type="spellStart"/>
      <w:r>
        <w:t>миллионниках</w:t>
      </w:r>
      <w:proofErr w:type="spellEnd"/>
      <w:r>
        <w:t xml:space="preserve"> и активно пользующиеся финансовыми продуктами.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Для автономного округа индекс финансовой грамотности за 2020 год составил 12,28 балла, таким образом, произошло повышение показателя по сравнению с 2019 годом на 1,8%. Такая динамика особенно значима на фоне снижения общероссийского уровня, которое составило 0,16%, а также в сравнении с показателями пилотных регионов за 2020 год. Необходимо отметить, что в 2018 году индекс финансовой грамотности для автономного округа составлял 12,13, а в 2019 году - 12,06.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По значению частного индекса "Знания" автономный округ в 2020 году также повысил показатель на 2,13% по сравнению с 2019 годом, результат опроса составил 4,32 балла (общероссийский показатель составляет 4,68 балла, рост по этому значению составил всего 0,21%). В 2018 году частный индекс "Знания" для автономного округа составлял 4,13, а в 2019 году - 4,23.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Значение частного индекса "Навыки" в 2020 году составило 5,01 балла, что превышает общероссийский уровень на 2,45% (общероссийский показатель составляет 4,89 балла, в отчетном </w:t>
      </w:r>
      <w:r>
        <w:lastRenderedPageBreak/>
        <w:t>периоде он остался неизменным) и рост значения на 0,8% по сравнению с аналогичным показателем прошлого года. В ряду других субъектов Российской Федерации автономный округ по данному значению располагается в группе B - "Выше среднего". В 2018 году частный индекс "Навыки" для автономного округа составлял 5,03, а в 2019 году - 4,97.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Для автономного округа существенным является анализ динамики частного индекса "Установки", прирост значения показателя по которому составил 2,44% (2,94 балла), что так же, как и частный индекс "Навыки", показывает превышение значения по сравнению с общероссийским уровнем на 5,38% (значение показателя составило 2,79 балла, рост - всего 0,36%). В ряду других субъектов автономный округ располагается в группе B - "Выше среднего". В 2018 году частный индекс "Установки" для автономного округа составлял 2,98, а в 2019 году - 2,87.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Таким образом, в автономном округе накоплен значительный опыт по созданию системы информационно-просветительской работы, в которой принимают действенное участие исполнительные органы государственной власти, территориальные органы федеральных органов государственной власти, эксперты финансового и научного сообществ.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Анализ ситуации определяет вектор дальнейшего развития. Для поддержания достигнутого уровня и увеличения значений показателей финансовой грамотности населения автономного округа необходимо продолжать проводить просветительские мероприятия для школьников и родителей, увеличить охват педагогических работников образовательных организаций всех уровней образования программами дополнительного профессионального образования повышения компетенций в области финансовой грамотности, увеличивать долю обучающихся, охваченных образовательными программами по финансовой грамотности, просветительские мероприятия и информационные кампании для различных социальных групп населения.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Для управления и координации работы на основании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автономного округа от 7 сентября 2018 года N 449-рп "О Координационном совете по повышению финансовой грамотности населения Ханты-Мансийского автономного округа - Югры" создан Координационный совет по повышению финансовой грамотности населения автономного округа (далее - Координационный совет).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Ведется работа по следующим направлениям: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1) создание кадрового потенциала из числа педагогических работников дошкольных и общеобразовательных организаций, профессиональных образовательных организаций и образовательных организаций высшего образования;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2) разработка и распространение учебно-методических материалов по повышению финансовой грамотности различных целевых и возрастных групп населения автономного округа;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3) реализация программ дополнительного профессионального образования по повышению финансовой грамотности для </w:t>
      </w:r>
      <w:proofErr w:type="spellStart"/>
      <w:r>
        <w:t>тьюторов</w:t>
      </w:r>
      <w:proofErr w:type="spellEnd"/>
      <w:r>
        <w:t xml:space="preserve"> из числа специалистов организаций социального обслуживания граждан, представителей социально ориентированных некоммерческих организаций, представителей средств массовой информации;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4) оказание консультационной и методической поддержки педагогам и </w:t>
      </w:r>
      <w:proofErr w:type="spellStart"/>
      <w:r>
        <w:t>тьюторам</w:t>
      </w:r>
      <w:proofErr w:type="spellEnd"/>
      <w:r>
        <w:t xml:space="preserve"> по реализации программ повышения финансовой грамотности среди различных целевых и возрастных групп населения;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5) консультирование населения автономного округа по вопросам финансовой грамотности;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6) организация и проведение массовых просветительских мероприятий (олимпиад, конкурсов, конференций, форумов) и информационных кампаний по повышению уровня финансовой грамотности населения.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lastRenderedPageBreak/>
        <w:t>Координатором данной работы является Департамент образования и науки автономного округа (далее - Департамент).</w:t>
      </w:r>
    </w:p>
    <w:p w:rsidR="00AF5A1E" w:rsidRDefault="00AF5A1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20.05.2022 N 211-п)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Работа по содействию повышению финансовой грамотности населения автономного округа требует системного подхода к решению проблем в сфере финансового просвещения граждан.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Программа направлена на обобщение имеющегося опыта работы по повышению финансовой грамотности всех участников данного процесса в автономном округе, в том числе опыта отдельных муниципальных образований автономного округа, реализующих локальные программы повышения финансовой грамотности населения по отдельным узким направлениям, в результате чего будут решаться вопросы выработки единой региональной политики в сфере повышения финансовой грамотности населения, формирования единого информационного пространства и наполнения его доступной, актуальной, достоверной информацией по финансовой тематике, а также дальнейшего развития финансового просвещения граждан.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Title"/>
        <w:jc w:val="center"/>
        <w:outlineLvl w:val="1"/>
      </w:pPr>
      <w:r>
        <w:t>Цели, задачи и срок реализации Программы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Normal"/>
        <w:ind w:firstLine="540"/>
        <w:jc w:val="both"/>
      </w:pPr>
      <w:r>
        <w:t xml:space="preserve">Цели и задачи Программы обусловлены приоритетами, которые определены </w:t>
      </w:r>
      <w:hyperlink r:id="rId10" w:history="1">
        <w:r>
          <w:rPr>
            <w:color w:val="0000FF"/>
          </w:rPr>
          <w:t>Стратегией</w:t>
        </w:r>
      </w:hyperlink>
      <w: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года N 2039-р, и Планом мероприятий ("дорожной картой") реализации второго этапа Стратегии повышения финансовой грамотности в Российской Федерации на 2017 - 2023 годы.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Целями Программы являются повышение уровня финансовой грамотности целевых групп населения автономного округа, содействие в формировании финансово грамотного поведения.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Для достижения целей необходимо решить следующие задачи: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формирование комплексной системы повышения финансовой грамотности, организация и координация деятельности в сфере повышения финансовой грамотности;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научно-методическое обеспечение и обучение специалистов по вопросам повышения финансовой грамотности населения;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организация и проведение тематических мероприятий по повышению финансовой грамотности для целевых групп и категорий населения автономного округа;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информационное обеспечение мероприятий по повышению финансовой грамотности населения.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Решение задач будет осуществляться путем реализации Плана мероприятий Программы, предусмотренного </w:t>
      </w:r>
      <w:hyperlink w:anchor="P220" w:history="1">
        <w:r>
          <w:rPr>
            <w:color w:val="0000FF"/>
          </w:rPr>
          <w:t>таблицей 2</w:t>
        </w:r>
      </w:hyperlink>
      <w:r>
        <w:t>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Срок реализации Программы: 2022 - 2030 годы.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Title"/>
        <w:jc w:val="center"/>
        <w:outlineLvl w:val="1"/>
      </w:pPr>
      <w:r>
        <w:t>Реализация и ресурсное обеспечение Программы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Normal"/>
        <w:ind w:firstLine="540"/>
        <w:jc w:val="both"/>
      </w:pPr>
      <w:r>
        <w:t>Координаторами Программы на условиях системного партнерства и паритета являются Депфин Югры и Отделение Банка России.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Управление Программой, контроль ее реализации осуществляет Координационный совет.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Основным исполнителем мероприятий Программы является Департамент, Региональный ресурсный центр повышения уровня финансовой грамотности населения автономного округа (далее - РРЦ ФГ), созданный на базе </w:t>
      </w:r>
      <w:proofErr w:type="spellStart"/>
      <w:r>
        <w:t>СурГУ</w:t>
      </w:r>
      <w:proofErr w:type="spellEnd"/>
      <w:r>
        <w:t xml:space="preserve">, исполнительные органы государственной власти </w:t>
      </w:r>
      <w:r>
        <w:lastRenderedPageBreak/>
        <w:t>автономного округа, другие участники, указанные в паспорте Программы.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Реализация мероприятий Программы осуществляется путем взаимодействия РРЦ ФГ с соисполнителями мероприятий Программы, территориальными органами федеральных органов исполнительной власти, органами местного самоуправления, бизнес-сообществом, негосударственными ассоциациями, образовательными, профессиональными финансовыми и иными организациями.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Неотъемлемым условием формирования эффективного механизма реализации Программы являются учет возможных рисков и создание системы корректировки задач, направлений, мероприятий и значений целевых показателей.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Группы возможных рисков реализации Программы: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риски, связанные с законодательной и нормативной базой, нарушение сроков принятия необходимых нормативных правовых актов для обеспечения реализации Программы;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недостаточный уровень квалификации кадрового обеспечения мероприятий Программы;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социальные риски,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целей, задач и планируемых к достижению результатов Программы.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Предполагаемые риски подлежат мониторингу, экспертной оценке, учету и созданию системы корректировки задач мероприятий и значений целевых показателей Программы со стороны Координационного совета.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Организационные и управленческие риски могут выражаться в ошибочной организационной схеме, недостаточном уровне квалификации для работ с новыми инструментами и могут приводить к неэффективному управлению процессом реализации Программы, несогласованности действий, низкому качеству выполнения программных мероприятий. Минимизация риска возможна за счет обеспечения постоянного и оперативного мониторинга (в том числе социологического) реализации мероприятий Программы, а также ее корректировки на основе анализа данных мониторинга.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Социальные риски могут выражаться в сопротивлении общественности осуществляемым изменениям в связи с недостаточным освещением в средствах массовой информации целей, задач и планируемых результатов. Минимизация риска возможна за счет широкого привлечения общественности к обсуждению целей, задач и механизмов реализации мероприятий в сфере повышения финансовой грамотности, а также публичного освещения хода и результатов реализации Программы.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Title"/>
        <w:jc w:val="center"/>
        <w:outlineLvl w:val="1"/>
      </w:pPr>
      <w:r>
        <w:t>Мониторинг хода реализации и оценка эффективности исполнения</w:t>
      </w:r>
    </w:p>
    <w:p w:rsidR="00AF5A1E" w:rsidRDefault="00AF5A1E">
      <w:pPr>
        <w:pStyle w:val="ConsPlusTitle"/>
        <w:jc w:val="center"/>
      </w:pPr>
      <w:r>
        <w:t>Программы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Normal"/>
        <w:ind w:firstLine="540"/>
        <w:jc w:val="both"/>
      </w:pPr>
      <w:r>
        <w:t>Необходимым условием формирования эффективного механизма реализации Программы является система мониторинга запуска, хода реализации, промежуточных и итоговых ее результатов.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Мониторинг повышения уровня финансовой грамотности населения автономного округа позволит наметить направления и содержание мероприятий по повышению уровня финансовой грамотности населения, а также определить результаты реализации мероприятий Программы на момент ее окончания. Данную деятельность осуществляет РРЦ ФГ.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В качестве дополнительных целевых индикаторов реализации Программы будут использоваться качественные и количественные индикаторы (показатели) мониторинга и оценки уровня финансовой грамотности и финансового поведения населения автономного округа, </w:t>
      </w:r>
      <w:r>
        <w:lastRenderedPageBreak/>
        <w:t>проводимые на ежегодной основе согласно плану мероприятий Программы.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Мониторинг достижения целевых показателей Программы отражается в ежегодном отчете, который вместе с отчетом о ходе реализации мероприятий Программы, отчетом о проводимых измерениях рассматривается ежегодно на заседании Координационного совета.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>Предложенный алгоритм позволит организовать и структурировать аналитическую работу, придать ей направленность и системность.</w:t>
      </w:r>
    </w:p>
    <w:p w:rsidR="00AF5A1E" w:rsidRDefault="00AF5A1E">
      <w:pPr>
        <w:pStyle w:val="ConsPlusNormal"/>
        <w:spacing w:before="220"/>
        <w:ind w:firstLine="540"/>
        <w:jc w:val="both"/>
      </w:pPr>
      <w:r>
        <w:t xml:space="preserve">Данные мониторингов позволят отслеживать ситуацию в сфере финансовой грамотности в автономном округе в целом, а также в разрезе отдельных муниципальных образований автономного округа в среднесрочной и долгосрочной перспективе, оперативно выявлять наиболее проблемные для представителей разных социально-демографических групп финансовые компетенции, рассматривать и лучше </w:t>
      </w:r>
      <w:proofErr w:type="spellStart"/>
      <w:r>
        <w:t>таргетировать</w:t>
      </w:r>
      <w:proofErr w:type="spellEnd"/>
      <w:r>
        <w:t xml:space="preserve"> существующие мероприятия и программы финансовой грамотности для населения.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Normal"/>
        <w:jc w:val="right"/>
        <w:outlineLvl w:val="1"/>
      </w:pPr>
      <w:r>
        <w:t>Таблица 1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Title"/>
        <w:jc w:val="center"/>
      </w:pPr>
      <w:r>
        <w:t>Целевые (контрольные) показатели реализации Программы</w:t>
      </w:r>
    </w:p>
    <w:p w:rsidR="00AF5A1E" w:rsidRDefault="00AF5A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020"/>
        <w:gridCol w:w="604"/>
        <w:gridCol w:w="604"/>
        <w:gridCol w:w="604"/>
        <w:gridCol w:w="604"/>
        <w:gridCol w:w="604"/>
        <w:gridCol w:w="1309"/>
      </w:tblGrid>
      <w:tr w:rsidR="00AF5A1E" w:rsidTr="00AF5A1E">
        <w:trPr>
          <w:tblHeader/>
        </w:trPr>
        <w:tc>
          <w:tcPr>
            <w:tcW w:w="454" w:type="dxa"/>
          </w:tcPr>
          <w:p w:rsidR="00AF5A1E" w:rsidRDefault="00AF5A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  <w:jc w:val="center"/>
            </w:pPr>
            <w:r>
              <w:t>2026 - 2030 г.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  <w:jc w:val="center"/>
            </w:pPr>
            <w:r>
              <w:t>Целевое значение показателя на момент окончания действия</w:t>
            </w:r>
          </w:p>
          <w:p w:rsidR="00AF5A1E" w:rsidRDefault="00AF5A1E">
            <w:pPr>
              <w:pStyle w:val="ConsPlusNormal"/>
              <w:jc w:val="center"/>
            </w:pPr>
            <w:r>
              <w:t>Программы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Численность педагогических работников, участвующих в реализации образовательных программ, включающих основы финансовой грамотности (чел.)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1971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3550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3600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3650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3700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4000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4000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Доля учащихся общеобразовательных организаций, охваченных мероприятиями Программы (%)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6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60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80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Доля студентов организаций профессионального образования и высшего образования, вовлеченных в образовательные программы и мероприятия по повышению финансовой грамотности (%)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60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80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4.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Доля дошкольных образовательных организаций, обеспечивших включение элементов финансовой грамотности в образовательные программы (%)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12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60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80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Количество подготовленных педагогических работников образовательных организаций, реализующих образовательные программы по повышению финансовой грамотности (чел.)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825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1675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2100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2525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2950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4000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4000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6.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 xml:space="preserve">Количество подготовленных </w:t>
            </w:r>
            <w:proofErr w:type="spellStart"/>
            <w:r>
              <w:t>тьюторов</w:t>
            </w:r>
            <w:proofErr w:type="spellEnd"/>
            <w:r>
              <w:t>, волонтеров и консультантов в сфере финансовой грамотности (чел.)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250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325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400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475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550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550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7.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Доля граждан, охваченных информационной кампанией, в том числе за счет социальной рекламы (%)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20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30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50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50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8.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Доля общеобразовательных организаций, обеспечивших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(%)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30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</w:tr>
      <w:tr w:rsidR="00AF5A1E">
        <w:tc>
          <w:tcPr>
            <w:tcW w:w="454" w:type="dxa"/>
          </w:tcPr>
          <w:p w:rsidR="00AF5A1E" w:rsidRDefault="00AF5A1E">
            <w:pPr>
              <w:pStyle w:val="ConsPlusNormal"/>
            </w:pPr>
            <w:r>
              <w:t>9.</w:t>
            </w:r>
          </w:p>
        </w:tc>
        <w:tc>
          <w:tcPr>
            <w:tcW w:w="3175" w:type="dxa"/>
          </w:tcPr>
          <w:p w:rsidR="00AF5A1E" w:rsidRDefault="00AF5A1E">
            <w:pPr>
              <w:pStyle w:val="ConsPlusNormal"/>
            </w:pPr>
            <w:r>
              <w:t>Доля профессиональных образовательных организаций, обеспечивших включение элементов финансовой грамотности в образовательные программы среднего профессионального образования</w:t>
            </w:r>
          </w:p>
          <w:p w:rsidR="00AF5A1E" w:rsidRDefault="00AF5A1E">
            <w:pPr>
              <w:pStyle w:val="ConsPlusNormal"/>
            </w:pPr>
            <w:r>
              <w:t>(%)</w:t>
            </w:r>
          </w:p>
        </w:tc>
        <w:tc>
          <w:tcPr>
            <w:tcW w:w="1020" w:type="dxa"/>
          </w:tcPr>
          <w:p w:rsidR="00AF5A1E" w:rsidRDefault="00AF5A1E">
            <w:pPr>
              <w:pStyle w:val="ConsPlusNormal"/>
            </w:pPr>
            <w:r>
              <w:t>20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  <w:tc>
          <w:tcPr>
            <w:tcW w:w="1309" w:type="dxa"/>
          </w:tcPr>
          <w:p w:rsidR="00AF5A1E" w:rsidRDefault="00AF5A1E">
            <w:pPr>
              <w:pStyle w:val="ConsPlusNormal"/>
            </w:pPr>
            <w:r>
              <w:t>100</w:t>
            </w:r>
          </w:p>
        </w:tc>
      </w:tr>
    </w:tbl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Normal"/>
        <w:jc w:val="right"/>
        <w:outlineLvl w:val="1"/>
      </w:pPr>
      <w:r>
        <w:t>Таблица 2</w:t>
      </w:r>
    </w:p>
    <w:p w:rsidR="00AF5A1E" w:rsidRDefault="00AF5A1E">
      <w:pPr>
        <w:pStyle w:val="ConsPlusNormal"/>
        <w:ind w:firstLine="540"/>
        <w:jc w:val="both"/>
      </w:pPr>
    </w:p>
    <w:p w:rsidR="00AF5A1E" w:rsidRDefault="00AF5A1E">
      <w:pPr>
        <w:pStyle w:val="ConsPlusTitle"/>
        <w:jc w:val="center"/>
      </w:pPr>
      <w:bookmarkStart w:id="0" w:name="P220"/>
      <w:bookmarkEnd w:id="0"/>
      <w:r>
        <w:t>План мероприятий Программы</w:t>
      </w:r>
    </w:p>
    <w:p w:rsidR="00AF5A1E" w:rsidRDefault="00AF5A1E">
      <w:pPr>
        <w:pStyle w:val="ConsPlusNormal"/>
        <w:jc w:val="center"/>
      </w:pPr>
    </w:p>
    <w:p w:rsidR="00AF5A1E" w:rsidRDefault="00AF5A1E">
      <w:pPr>
        <w:sectPr w:rsidR="00AF5A1E" w:rsidSect="008322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1"/>
        <w:gridCol w:w="4289"/>
        <w:gridCol w:w="2932"/>
        <w:gridCol w:w="2266"/>
        <w:gridCol w:w="4292"/>
      </w:tblGrid>
      <w:tr w:rsidR="00AF5A1E" w:rsidTr="00AF5A1E">
        <w:trPr>
          <w:cantSplit/>
          <w:tblHeader/>
        </w:trPr>
        <w:tc>
          <w:tcPr>
            <w:tcW w:w="268" w:type="pct"/>
          </w:tcPr>
          <w:p w:rsidR="00AF5A1E" w:rsidRDefault="00AF5A1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  <w:jc w:val="center"/>
            </w:pPr>
            <w:r>
              <w:t>Наименование задачи, мероприятия Программы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  <w:jc w:val="center"/>
            </w:pPr>
            <w:r>
              <w:t>Ответственные исполнители/ участники мероприятия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  <w:jc w:val="center"/>
            </w:pPr>
            <w:r>
              <w:t>Планируемый результат и (или) показатель реализации Программы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2"/>
            </w:pPr>
            <w:r>
              <w:t>Задача 1. Формирование комплексной системы повышения финансовой грамотности, организация и координация деятельности в сфере повышения финансовой грамотности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1.1.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Обеспечение (финансового, кадрового, материально-технического) функционирования РРЦ ФГ на базе </w:t>
            </w:r>
            <w:proofErr w:type="spellStart"/>
            <w:r>
              <w:t>СурГУ</w:t>
            </w:r>
            <w:proofErr w:type="spellEnd"/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</w:t>
            </w:r>
            <w:proofErr w:type="spellStart"/>
            <w:r>
              <w:t>СурГУ</w:t>
            </w:r>
            <w:proofErr w:type="spellEnd"/>
            <w:r>
              <w:t xml:space="preserve">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На постоянной основе функционирует РРЦ ФГ в целях формирования системы финансового образования, передачи знаний, навыков и умений различным категориям населения, а также содействия созданию эффективной инфраструктуры информационной, консультационной и методической поддержки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1.2.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Проведение исследований уровня финансовой грамотности и финансового поведения населения</w:t>
            </w:r>
            <w:bookmarkStart w:id="1" w:name="_GoBack"/>
            <w:bookmarkEnd w:id="1"/>
            <w:r>
              <w:t xml:space="preserve">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1 января 2022 года - 31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Не менее 2 аналитических отчетов в год по итогам исследований уровня финансовой грамотности и финансового поведения населения автономного округа в целях оперативного выявления проблемных зон и принятия управленческих решений, направленных на их устранение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1.3.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Организация и проведение исследований достижения целевых (контрольных) показателей реализации Программы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</w:t>
            </w:r>
          </w:p>
          <w:p w:rsidR="00AF5A1E" w:rsidRDefault="00AF5A1E">
            <w:pPr>
              <w:pStyle w:val="ConsPlusNormal"/>
            </w:pPr>
            <w:r>
              <w:t>2022 года, до 31 декабря</w:t>
            </w:r>
          </w:p>
          <w:p w:rsidR="00AF5A1E" w:rsidRDefault="00AF5A1E">
            <w:pPr>
              <w:pStyle w:val="ConsPlusNormal"/>
            </w:pPr>
            <w:r>
              <w:t>2023 года, до 31 декабря</w:t>
            </w:r>
          </w:p>
          <w:p w:rsidR="00AF5A1E" w:rsidRDefault="00AF5A1E">
            <w:pPr>
              <w:pStyle w:val="ConsPlusNormal"/>
            </w:pPr>
            <w:r>
              <w:t>2024 года, до 31 декабря</w:t>
            </w:r>
          </w:p>
          <w:p w:rsidR="00AF5A1E" w:rsidRDefault="00AF5A1E">
            <w:pPr>
              <w:pStyle w:val="ConsPlusNormal"/>
            </w:pPr>
            <w:r>
              <w:t xml:space="preserve">2025 года, до 31 </w:t>
            </w:r>
            <w:r>
              <w:lastRenderedPageBreak/>
              <w:t>декабря</w:t>
            </w:r>
          </w:p>
          <w:p w:rsidR="00AF5A1E" w:rsidRDefault="00AF5A1E">
            <w:pPr>
              <w:pStyle w:val="ConsPlusNormal"/>
            </w:pPr>
            <w:r>
              <w:t>2026 года, до 31 декабря</w:t>
            </w:r>
          </w:p>
          <w:p w:rsidR="00AF5A1E" w:rsidRDefault="00AF5A1E">
            <w:pPr>
              <w:pStyle w:val="ConsPlusNormal"/>
            </w:pPr>
            <w:r>
              <w:t>2027 года, до 31 декабря</w:t>
            </w:r>
          </w:p>
          <w:p w:rsidR="00AF5A1E" w:rsidRDefault="00AF5A1E">
            <w:pPr>
              <w:pStyle w:val="ConsPlusNormal"/>
            </w:pPr>
            <w:r>
              <w:t>2028 года, до 31 декабря</w:t>
            </w:r>
          </w:p>
          <w:p w:rsidR="00AF5A1E" w:rsidRDefault="00AF5A1E">
            <w:pPr>
              <w:pStyle w:val="ConsPlusNormal"/>
            </w:pPr>
            <w:r>
              <w:t>2029 года, 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lastRenderedPageBreak/>
              <w:t>Не менее 1 аналитического отчета в год по итогам исследований достижения целевых (контрольных) показателей реализации Программы в целях осуществления контроля их достижения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2"/>
            </w:pPr>
            <w:r>
              <w:t>Задача 2. Научно-методическое обеспечение и обучение специалистов по вопросам повышения финансовой грамотности населения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2.1.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Повышение квалификации педагогических работников образовательных организаций автономного округа по дополнительным профессиональным программам, направленным на формирование финансовой грамотности обучающихся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r>
              <w:t>РРЦ ФГ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</w:t>
            </w:r>
          </w:p>
          <w:p w:rsidR="00AF5A1E" w:rsidRDefault="00AF5A1E">
            <w:pPr>
              <w:pStyle w:val="ConsPlusNormal"/>
            </w:pPr>
            <w:r>
              <w:t>2022 года, до 31 декабря</w:t>
            </w:r>
          </w:p>
          <w:p w:rsidR="00AF5A1E" w:rsidRDefault="00AF5A1E">
            <w:pPr>
              <w:pStyle w:val="ConsPlusNormal"/>
            </w:pPr>
            <w:r>
              <w:t>2023 года, до 31 декабря</w:t>
            </w:r>
          </w:p>
          <w:p w:rsidR="00AF5A1E" w:rsidRDefault="00AF5A1E">
            <w:pPr>
              <w:pStyle w:val="ConsPlusNormal"/>
            </w:pPr>
            <w:r>
              <w:t>2024 года, до 31 декабря</w:t>
            </w:r>
          </w:p>
          <w:p w:rsidR="00AF5A1E" w:rsidRDefault="00AF5A1E">
            <w:pPr>
              <w:pStyle w:val="ConsPlusNormal"/>
            </w:pPr>
            <w:r>
              <w:t>2025 года, до 31 декабря</w:t>
            </w:r>
          </w:p>
          <w:p w:rsidR="00AF5A1E" w:rsidRDefault="00AF5A1E">
            <w:pPr>
              <w:pStyle w:val="ConsPlusNormal"/>
            </w:pPr>
            <w:r>
              <w:t>2026 года, до 31 декабря</w:t>
            </w:r>
          </w:p>
          <w:p w:rsidR="00AF5A1E" w:rsidRDefault="00AF5A1E">
            <w:pPr>
              <w:pStyle w:val="ConsPlusNormal"/>
            </w:pPr>
            <w:r>
              <w:t>2027 года, до 31 декабря</w:t>
            </w:r>
          </w:p>
          <w:p w:rsidR="00AF5A1E" w:rsidRDefault="00AF5A1E">
            <w:pPr>
              <w:pStyle w:val="ConsPlusNormal"/>
            </w:pPr>
            <w:r>
              <w:t>2028 года, до 31 декабря</w:t>
            </w:r>
          </w:p>
          <w:p w:rsidR="00AF5A1E" w:rsidRDefault="00AF5A1E">
            <w:pPr>
              <w:pStyle w:val="ConsPlusNormal"/>
            </w:pPr>
            <w:r>
              <w:t>2029 года, 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Не менее 475 педагогических работников образовательных организаций автономного округа прошли повышение квалификации в целях реализации образовательных программ (курсов, модулей), направленных на формирование финансовой грамотности обучающихся, ежегодно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Внедрение в основные образовательные программы образовательных организаций автономного округа образовательных элементов (курсов, практик, модулей), направленных на формирование финансовой грамотности обучающихся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органы местного самоуправления (по согласованию), образовательные организации автономного округа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2025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Не менее 100% образовательных организаций автономного округа внедрили в основные образовательные программы элементы (курсы, практики, модули), направленные на формирование финансовой грамотности обучающихся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2.3.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Проведение повышения квалификации по вопросам финансового просвещения граждан:</w:t>
            </w:r>
          </w:p>
          <w:p w:rsidR="00AF5A1E" w:rsidRDefault="00AF5A1E">
            <w:pPr>
              <w:pStyle w:val="ConsPlusNormal"/>
            </w:pPr>
            <w:proofErr w:type="spellStart"/>
            <w:r>
              <w:t>тьюторов</w:t>
            </w:r>
            <w:proofErr w:type="spellEnd"/>
            <w:r>
              <w:t xml:space="preserve"> из числа работников сферы социального обслуживания и социальной защиты населения автономного округа;</w:t>
            </w:r>
          </w:p>
          <w:p w:rsidR="00AF5A1E" w:rsidRDefault="00AF5A1E">
            <w:pPr>
              <w:pStyle w:val="ConsPlusNormal"/>
            </w:pPr>
            <w:r>
              <w:t>представителей негосударственных поставщиков социальных услуг; представителей центров занятости населения, многофункциональных центров предоставления государственных и муниципальных услуг, участвующих в консультировании граждан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</w:t>
            </w:r>
            <w:proofErr w:type="spellStart"/>
            <w:r>
              <w:t>Депсоцразвития</w:t>
            </w:r>
            <w:proofErr w:type="spellEnd"/>
            <w:r>
              <w:t xml:space="preserve"> Югры, </w:t>
            </w:r>
            <w:proofErr w:type="spellStart"/>
            <w:r>
              <w:t>Депэкономики</w:t>
            </w:r>
            <w:proofErr w:type="spellEnd"/>
            <w:r>
              <w:t xml:space="preserve"> Югры, РРЦ ФГ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В целях финансового просвещения граждан автономного округа обеспечено повышение квалификации не менее:</w:t>
            </w:r>
          </w:p>
          <w:p w:rsidR="00AF5A1E" w:rsidRDefault="00AF5A1E">
            <w:pPr>
              <w:pStyle w:val="ConsPlusNormal"/>
            </w:pPr>
            <w:r>
              <w:t xml:space="preserve">25 </w:t>
            </w:r>
            <w:proofErr w:type="spellStart"/>
            <w:r>
              <w:t>тьюторов</w:t>
            </w:r>
            <w:proofErr w:type="spellEnd"/>
            <w:r>
              <w:t xml:space="preserve"> из числа работников сферы социального обслуживания и социальной защиты населения автономного округа, в год;</w:t>
            </w:r>
          </w:p>
          <w:p w:rsidR="00AF5A1E" w:rsidRDefault="00AF5A1E">
            <w:pPr>
              <w:pStyle w:val="ConsPlusNormal"/>
            </w:pPr>
            <w:r>
              <w:t>25 представителей негосударственных поставщиков социальных услуг, в год;</w:t>
            </w:r>
          </w:p>
          <w:p w:rsidR="00AF5A1E" w:rsidRDefault="00AF5A1E">
            <w:pPr>
              <w:pStyle w:val="ConsPlusNormal"/>
            </w:pPr>
            <w:r>
              <w:t>50 представителей центров занятости населения, многофункциональных центров предоставления государственных и муниципальных услуг, участвующих в консультировании граждан, в год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2"/>
            </w:pPr>
            <w:r>
              <w:t>Задача 3. Организация и проведение тематических мероприятий по повышению финансовой грамотности для целевых групп и категорий населения автономного округа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3"/>
            </w:pPr>
            <w:r>
              <w:t xml:space="preserve">3.1. Организация и проведение региональных мероприятий, направленных на повышение финансовой грамотности обучающихся образовательных </w:t>
            </w:r>
            <w:r>
              <w:lastRenderedPageBreak/>
              <w:t>организаций автономного округа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lastRenderedPageBreak/>
              <w:t>3.1.1.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Проведение региональной олимпиады по финансовой грамотности и предпринимательству для школьников, студентов профессиональных образовательных организаций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Ежегодно не менее 200 школьников, студентов профессиональных образовательных организаций автономного округа принимают участие в региональной олимпиаде по финансовой грамотности и предпринимательству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3"/>
            </w:pPr>
            <w:r>
              <w:t>3.2. Содействие в проведении в автономном округе всероссийских мероприятий по финансовой грамотности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3.2.1.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Проведение информационно-разъяснительных уроков "День пенсионной грамотности" для обучающихся образовательных организаций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r>
              <w:t xml:space="preserve">Отделение Пенсионного фонда Российской Федерации по автономному округу (по согласованию), органы местного самоуправления (по согласованию), </w:t>
            </w:r>
            <w:proofErr w:type="spellStart"/>
            <w:r>
              <w:t>Депобразования</w:t>
            </w:r>
            <w:proofErr w:type="spellEnd"/>
            <w:r>
              <w:t xml:space="preserve"> и науки Югры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Не менее 50% образовательных организаций автономного округа ежегодно принимают участие в проведении информационно-разъяснительных уроков "День пенсионной грамотности"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3.2.2.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Участие обучающихся образовательных организаций автономного округа во Всероссийских олимпиадах, конкурсах, фестивалях, чемпионатах, играх, </w:t>
            </w:r>
            <w:proofErr w:type="spellStart"/>
            <w:r>
              <w:t>квестах</w:t>
            </w:r>
            <w:proofErr w:type="spellEnd"/>
            <w:r>
              <w:t xml:space="preserve"> и других мероприятиях, посвященных финансовой грамотности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(по согласованию), образовательные организации автономного округа (по согласованию), органы местного </w:t>
            </w:r>
            <w:r>
              <w:lastRenderedPageBreak/>
              <w:t>самоуправления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lastRenderedPageBreak/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Обучающиеся образовательных организаций автономного округа ежегодно принимают участие не менее чем в 5 мероприятиях всероссийского уровня, посвященных финансовой грамотности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3"/>
            </w:pPr>
            <w:r>
              <w:t xml:space="preserve">3.3. Организация и проведение мероприятий, направленных на повышение финансовой грамотности различных целевых групп населения - граждан трудоспособного возраста, граждан с низким и средним уровнем доходов, граждан пенсионного и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возраста, лиц с ограниченными возможностями здоровья, безработных граждан и граждан, ищущих работу, состоящих на учете в органах службы занятости населения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3.3.1.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Проведение мероприятий по повышению финансовой грамотности для граждан с низким и средним уровнем доходов, граждан пенсионного и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и лиц с ограниченными возможностями здоровья в организациях социального обслуживания, в том числе по вопросам жилищно-коммунальной сферы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Депсоцразвития</w:t>
            </w:r>
            <w:proofErr w:type="spellEnd"/>
            <w:r>
              <w:t xml:space="preserve"> Югры, </w:t>
            </w:r>
            <w:proofErr w:type="spellStart"/>
            <w:r>
              <w:t>Депжкк</w:t>
            </w:r>
            <w:proofErr w:type="spellEnd"/>
            <w:r>
              <w:t xml:space="preserve"> и энергетики Югры, </w:t>
            </w:r>
            <w:proofErr w:type="spellStart"/>
            <w:r>
              <w:t>Депобразования</w:t>
            </w:r>
            <w:proofErr w:type="spellEnd"/>
            <w:r>
              <w:t xml:space="preserve"> и науки Югры,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Дептруда</w:t>
            </w:r>
            <w:proofErr w:type="spellEnd"/>
            <w:r>
              <w:t xml:space="preserve"> и занятости Югры, </w:t>
            </w:r>
            <w:proofErr w:type="spellStart"/>
            <w:r>
              <w:t>Депсвязей</w:t>
            </w:r>
            <w:proofErr w:type="spellEnd"/>
            <w:r>
              <w:t xml:space="preserve"> Югры,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Депинформтехнологий</w:t>
            </w:r>
            <w:proofErr w:type="spellEnd"/>
            <w:r>
              <w:t xml:space="preserve"> Югры, Депфин Югры, РРЦ ФГ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Проведено не менее 20 мероприятий, направленных на повышение финансовой грамотности граждан с низким и средним уровнем доходов, граждан пенсионного и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и лиц с ограниченными возможностями здоровья ежегодно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3.3.2.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Организация повышения уровня финансовой грамотности граждан пожилого возраста (программа обучения "Университет третьего возраста", факультет "Финансовая грамотность" в организациях социального обслуживания), в том числе по вопросам жилищно-коммунальной сферы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Депсоцразвития</w:t>
            </w:r>
            <w:proofErr w:type="spellEnd"/>
            <w:r>
              <w:t xml:space="preserve"> Югры, </w:t>
            </w:r>
            <w:proofErr w:type="spellStart"/>
            <w:r>
              <w:t>Депжкк</w:t>
            </w:r>
            <w:proofErr w:type="spellEnd"/>
            <w:r>
              <w:t xml:space="preserve"> и энергетики Югры, отделение Пенсионного фонда Российской Федерации по автономному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Не менее 400 граждан пожилого возраста прошли обучение финансовой грамотности, в год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3"/>
            </w:pPr>
            <w:r>
              <w:lastRenderedPageBreak/>
              <w:t>3.4. Иные мероприятия в области финансового просвещения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3.4.1.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Организация мероприятий по повышению финансовой грамотности для субъектов малого и среднего предпринимательства, </w:t>
            </w:r>
            <w:proofErr w:type="spellStart"/>
            <w:r>
              <w:t>самозанятых</w:t>
            </w:r>
            <w:proofErr w:type="spellEnd"/>
            <w:r>
              <w:t xml:space="preserve"> граждан, молодежи и лиц, заинтересованных в открытии дела</w:t>
            </w:r>
          </w:p>
          <w:p w:rsidR="00AF5A1E" w:rsidRDefault="00AF5A1E">
            <w:pPr>
              <w:pStyle w:val="ConsPlusNormal"/>
            </w:pPr>
            <w:r>
              <w:t>(</w:t>
            </w:r>
            <w:proofErr w:type="spellStart"/>
            <w:r>
              <w:t>вебинаров</w:t>
            </w:r>
            <w:proofErr w:type="spellEnd"/>
            <w:r>
              <w:t>, дистанционных обучающих курсов, онлайн-зачетов по финансовой грамотности)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Депэкономики</w:t>
            </w:r>
            <w:proofErr w:type="spellEnd"/>
            <w:r>
              <w:t xml:space="preserve"> Югры,</w:t>
            </w:r>
          </w:p>
          <w:p w:rsidR="00AF5A1E" w:rsidRDefault="00AF5A1E">
            <w:pPr>
              <w:pStyle w:val="ConsPlusNormal"/>
            </w:pPr>
            <w:r>
              <w:t>Фонд поддержки предпринимательства Югры "Мой бизнес"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Проведено не менее 3 мероприятий, направленных на повышение финансовой грамотности субъектов малого и среднего предпринимательства, </w:t>
            </w:r>
            <w:proofErr w:type="spellStart"/>
            <w:r>
              <w:t>самозанятых</w:t>
            </w:r>
            <w:proofErr w:type="spellEnd"/>
            <w:r>
              <w:t xml:space="preserve"> граждан, молодежи и лиц, заинтересованных в открытии дела, в год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3.4.2.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Организация региональной конференции "Развитие финансовой грамотности в регионе" для педагогов и </w:t>
            </w:r>
            <w:proofErr w:type="spellStart"/>
            <w:r>
              <w:t>тьюторов</w:t>
            </w:r>
            <w:proofErr w:type="spellEnd"/>
            <w:r>
              <w:t xml:space="preserve"> образовательных организаций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Ежегодно в региональной конференции "Развитие финансовой грамотности в регионе" принимают участие не менее 200 педагогов и </w:t>
            </w:r>
            <w:proofErr w:type="spellStart"/>
            <w:r>
              <w:t>тьюторов</w:t>
            </w:r>
            <w:proofErr w:type="spellEnd"/>
            <w:r>
              <w:t xml:space="preserve"> образовательных организаций автономного округа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3.4.3.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Организация регионального форума "Финансовая грамотность для всех"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</w:t>
            </w:r>
            <w:proofErr w:type="spellStart"/>
            <w:r>
              <w:t>Дептруда</w:t>
            </w:r>
            <w:proofErr w:type="spellEnd"/>
            <w:r>
              <w:t xml:space="preserve"> и занятости Югры, </w:t>
            </w:r>
            <w:proofErr w:type="spellStart"/>
            <w:r>
              <w:t>Депсоцразвития</w:t>
            </w:r>
            <w:proofErr w:type="spellEnd"/>
            <w:r>
              <w:t xml:space="preserve"> Югры, Департамент общественных, внешних связей и молодежи Югры, </w:t>
            </w:r>
            <w:proofErr w:type="spellStart"/>
            <w:r>
              <w:t>Депинформтехнологий</w:t>
            </w:r>
            <w:proofErr w:type="spellEnd"/>
            <w:r>
              <w:t xml:space="preserve"> Югры, Депфин Югры,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Ежегодно в региональном форуме "Финансовая грамотность для всех" принимают участие не менее 400 человек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3.4.4.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Проведение повышения квалификации в сфере финансовой грамотности для представителей пресс-служб органов местного самоуправления автономного округа, государственных и муниципальных учреждений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 </w:t>
            </w:r>
            <w:proofErr w:type="spellStart"/>
            <w:r>
              <w:t>Депсвязей</w:t>
            </w:r>
            <w:proofErr w:type="spellEnd"/>
            <w:r>
              <w:t xml:space="preserve"> Югры, органы местного самоуправления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Ежегодно не менее 25 представителей пресс-служб органов местного самоуправления автономного округа, государственных и муниципальных учреждений прошли повышение квалификации в сфере финансовой грамотности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3.4.5.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Организация обучающих мероприятий, направленных на развитие регионального волонтерского движения в сфере повышения финансового просвещения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Дептруда</w:t>
            </w:r>
            <w:proofErr w:type="spellEnd"/>
            <w:r>
              <w:t xml:space="preserve"> и занятости Югры, </w:t>
            </w:r>
            <w:proofErr w:type="spellStart"/>
            <w:r>
              <w:t>Депсвязей</w:t>
            </w:r>
            <w:proofErr w:type="spellEnd"/>
            <w:r>
              <w:t xml:space="preserve"> Югры,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Депинформтехнологий</w:t>
            </w:r>
            <w:proofErr w:type="spellEnd"/>
            <w:r>
              <w:t xml:space="preserve"> Югры, </w:t>
            </w:r>
            <w:proofErr w:type="spellStart"/>
            <w:r>
              <w:t>Депсоцразвития</w:t>
            </w:r>
            <w:proofErr w:type="spellEnd"/>
            <w:r>
              <w:t xml:space="preserve"> Югры, Депфин Югры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Проведено не менее 5 обучающих мероприятий, направленных на развитие регионального волонтерского движения в сфере повышения финансового просвещения, ежегодно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outlineLvl w:val="2"/>
            </w:pPr>
            <w:r>
              <w:t>Задача 4. Информационное обеспечение мероприятий по повышению финансовой грамотности населения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4.1.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Ведение информационного ресурса (сайта) автономного округа, посвященного финансовой грамотности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РРЦ ФГ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Не менее 4 информационных материалов размещены (обновлены) на информационном ресурсе (сайте) автономного округа, посвященном финансовой грамотности, ежемесячно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Создание раздела "Финансовая грамотность"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</w:t>
            </w:r>
            <w:proofErr w:type="spellStart"/>
            <w:r>
              <w:t>Дептруда</w:t>
            </w:r>
            <w:proofErr w:type="spellEnd"/>
            <w:r>
              <w:t xml:space="preserve"> и занятости Югры, </w:t>
            </w:r>
            <w:proofErr w:type="spellStart"/>
            <w:r>
              <w:t>Депсвязей</w:t>
            </w:r>
            <w:proofErr w:type="spellEnd"/>
            <w:r>
              <w:t xml:space="preserve"> Югры,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Депинформтехнологий</w:t>
            </w:r>
            <w:proofErr w:type="spellEnd"/>
            <w:r>
              <w:t xml:space="preserve"> Югры, </w:t>
            </w:r>
            <w:proofErr w:type="spellStart"/>
            <w:r>
              <w:t>Депсоцразвития</w:t>
            </w:r>
            <w:proofErr w:type="spellEnd"/>
            <w:r>
              <w:t xml:space="preserve"> Югры, Депфин Югры, органы местного самоуправления (по согласованию), Отделение Банка России (по согласованию), образовательные организации автономного округа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2022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Раздел "Финансовая грамотность" создан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 в целях обеспечения доступа населения автономного округа к информации, посвященной финансовой грамотности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4.3.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Освещение мероприятий по финансовой грамотности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t>Депобразования</w:t>
            </w:r>
            <w:proofErr w:type="spellEnd"/>
            <w:r>
              <w:t xml:space="preserve"> и науки Югры, </w:t>
            </w:r>
            <w:proofErr w:type="spellStart"/>
            <w:r>
              <w:t>Дептруда</w:t>
            </w:r>
            <w:proofErr w:type="spellEnd"/>
            <w:r>
              <w:t xml:space="preserve"> и занятости Югры, </w:t>
            </w:r>
            <w:proofErr w:type="spellStart"/>
            <w:r>
              <w:t>Депсвязей</w:t>
            </w:r>
            <w:proofErr w:type="spellEnd"/>
            <w:r>
              <w:t xml:space="preserve"> Югры, </w:t>
            </w:r>
            <w:proofErr w:type="spellStart"/>
            <w:r>
              <w:t>Депсоцразвития</w:t>
            </w:r>
            <w:proofErr w:type="spellEnd"/>
            <w:r>
              <w:t xml:space="preserve"> Югры, Депфин Югры, органы местного самоуправления (по согласованию), Отделение Банка России (по согласованию), образовательные организации автономного округа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t>до 31 декабря 2030 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>Ежегодно не менее 10 информационных сообщений, освещающих вопросы финансовой грамотности, размещены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  <w:tr w:rsidR="00AF5A1E" w:rsidTr="00AF5A1E">
        <w:tc>
          <w:tcPr>
            <w:tcW w:w="268" w:type="pct"/>
          </w:tcPr>
          <w:p w:rsidR="00AF5A1E" w:rsidRDefault="00AF5A1E">
            <w:pPr>
              <w:pStyle w:val="ConsPlusNormal"/>
            </w:pPr>
            <w:r>
              <w:t>4.4.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t xml:space="preserve">Подготовка, издание и распространение </w:t>
            </w:r>
            <w:r>
              <w:lastRenderedPageBreak/>
              <w:t>печатно-полиграфической продукции на тему финансовой грамотности для различных целевых групп населения автономного округа</w:t>
            </w:r>
          </w:p>
        </w:tc>
        <w:tc>
          <w:tcPr>
            <w:tcW w:w="1007" w:type="pct"/>
          </w:tcPr>
          <w:p w:rsidR="00AF5A1E" w:rsidRDefault="00AF5A1E">
            <w:pPr>
              <w:pStyle w:val="ConsPlusNormal"/>
            </w:pPr>
            <w:proofErr w:type="spellStart"/>
            <w:r>
              <w:lastRenderedPageBreak/>
              <w:t>Депобразования</w:t>
            </w:r>
            <w:proofErr w:type="spellEnd"/>
            <w:r>
              <w:t xml:space="preserve"> и науки </w:t>
            </w:r>
            <w:r>
              <w:lastRenderedPageBreak/>
              <w:t>Югры, РРЦ ФГ (по согласованию),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Дептруда</w:t>
            </w:r>
            <w:proofErr w:type="spellEnd"/>
            <w:r>
              <w:t xml:space="preserve"> и занятости Югры, Департамент общественных, внешних связей и молодежи Югры,</w:t>
            </w:r>
          </w:p>
          <w:p w:rsidR="00AF5A1E" w:rsidRDefault="00AF5A1E">
            <w:pPr>
              <w:pStyle w:val="ConsPlusNormal"/>
            </w:pPr>
            <w:proofErr w:type="spellStart"/>
            <w:r>
              <w:t>Депинформтехнологий</w:t>
            </w:r>
            <w:proofErr w:type="spellEnd"/>
            <w:r>
              <w:t xml:space="preserve"> Югры, </w:t>
            </w:r>
            <w:proofErr w:type="spellStart"/>
            <w:r>
              <w:t>Депсоцразвития</w:t>
            </w:r>
            <w:proofErr w:type="spellEnd"/>
            <w:r>
              <w:t xml:space="preserve"> Югры, Депфин Югры, Отделение Банка России (по согласованию)</w:t>
            </w:r>
          </w:p>
        </w:tc>
        <w:tc>
          <w:tcPr>
            <w:tcW w:w="778" w:type="pct"/>
          </w:tcPr>
          <w:p w:rsidR="00AF5A1E" w:rsidRDefault="00AF5A1E">
            <w:pPr>
              <w:pStyle w:val="ConsPlusNormal"/>
            </w:pPr>
            <w:r>
              <w:lastRenderedPageBreak/>
              <w:t xml:space="preserve">до 31 декабря 2030 </w:t>
            </w:r>
            <w:r>
              <w:lastRenderedPageBreak/>
              <w:t>года</w:t>
            </w:r>
          </w:p>
        </w:tc>
        <w:tc>
          <w:tcPr>
            <w:tcW w:w="1473" w:type="pct"/>
          </w:tcPr>
          <w:p w:rsidR="00AF5A1E" w:rsidRDefault="00AF5A1E">
            <w:pPr>
              <w:pStyle w:val="ConsPlusNormal"/>
            </w:pPr>
            <w:r>
              <w:lastRenderedPageBreak/>
              <w:t xml:space="preserve">Изготовлено не менее 7 наименований </w:t>
            </w:r>
            <w:r>
              <w:lastRenderedPageBreak/>
              <w:t>печатно-полиграфической продукции в целях распространения информации о финансово грамотном поведении среди населения автономного округа, в год</w:t>
            </w:r>
          </w:p>
        </w:tc>
      </w:tr>
      <w:tr w:rsidR="00AF5A1E" w:rsidTr="00AF5A1E">
        <w:tc>
          <w:tcPr>
            <w:tcW w:w="5000" w:type="pct"/>
            <w:gridSpan w:val="5"/>
          </w:tcPr>
          <w:p w:rsidR="00AF5A1E" w:rsidRDefault="00AF5A1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20.05.2022 N 211-п)</w:t>
            </w:r>
          </w:p>
        </w:tc>
      </w:tr>
    </w:tbl>
    <w:p w:rsidR="00AF5A1E" w:rsidRDefault="00AF5A1E">
      <w:pPr>
        <w:pStyle w:val="ConsPlusNormal"/>
      </w:pPr>
    </w:p>
    <w:sectPr w:rsidR="00AF5A1E" w:rsidSect="00A9501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1E"/>
    <w:rsid w:val="00AF5A1E"/>
    <w:rsid w:val="00B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2159E-386E-4A28-B546-8365C90F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39208C44A3F4731A4CE7A97F522F9DC661D7353B4FC75FDE61382F8AD169BF9DF62102BEE2EB7AB79C21FB2370CCDE24m8f4E" TargetMode="External"/><Relationship Id="rId13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18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6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7" Type="http://schemas.openxmlformats.org/officeDocument/2006/relationships/hyperlink" Target="consultantplus://offline/ref=4139208C44A3F4731A4CE7A97F522F9DC661D7353B48C65FDE6B382F8AD169BF9DF62102ACE2B376B7983FFD27659A8F62D3E4A19B1CB6C430738CE1m9f1E" TargetMode="External"/><Relationship Id="rId12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17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5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0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39208C44A3F4731A4CE7A97F522F9DC661D7353B48C651D665382F8AD169BF9DF62102ACE2B376B79C3AFF2D659A8F62D3E4A19B1CB6C430738CE1m9f1E" TargetMode="External"/><Relationship Id="rId11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4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5" Type="http://schemas.openxmlformats.org/officeDocument/2006/relationships/hyperlink" Target="consultantplus://offline/ref=4139208C44A3F4731A4CF9A4693E7892C26D8131394EC80182373E78D5816FEADDB62757EFA6BE76B6916BAA613BC3DE2098E9A78300B6C0m2fCE" TargetMode="External"/><Relationship Id="rId15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3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139208C44A3F4731A4CF9A4693E7892C26D8131394EC80182373E78D5816FEADDB62757EFA6BE76B6916BAA613BC3DE2098E9A78300B6C0m2fCE" TargetMode="External"/><Relationship Id="rId19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4" Type="http://schemas.openxmlformats.org/officeDocument/2006/relationships/hyperlink" Target="consultantplus://offline/ref=4139208C44A3F4731A4CE7A97F522F9DC661D7353B48C651D665382F8AD169BF9DF62102ACE2B376B79C3AFF22659A8F62D3E4A19B1CB6C430738CE1m9f1E" TargetMode="External"/><Relationship Id="rId9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14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2" Type="http://schemas.openxmlformats.org/officeDocument/2006/relationships/hyperlink" Target="consultantplus://offline/ref=4139208C44A3F4731A4CE7A97F522F9DC661D7353B48C651D665382F8AD169BF9DF62102ACE2B376B79C3AFE24659A8F62D3E4A19B1CB6C430738CE1m9f1E" TargetMode="External"/><Relationship Id="rId27" Type="http://schemas.openxmlformats.org/officeDocument/2006/relationships/hyperlink" Target="consultantplus://offline/ref=4139208C44A3F4731A4CE7A97F522F9DC661D7353B48C651D665382F8AD169BF9DF62102ACE2B376B79C3AFE24659A8F62D3E4A19B1CB6C430738CE1m9f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6173</Words>
  <Characters>35191</Characters>
  <Application>Microsoft Office Word</Application>
  <DocSecurity>0</DocSecurity>
  <Lines>293</Lines>
  <Paragraphs>82</Paragraphs>
  <ScaleCrop>false</ScaleCrop>
  <Company/>
  <LinksUpToDate>false</LinksUpToDate>
  <CharactersWithSpaces>41282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1</cp:revision>
  <dcterms:created xsi:type="dcterms:W3CDTF">2022-06-06T04:31:00Z</dcterms:created>
  <dcterms:modified xsi:type="dcterms:W3CDTF">2022-06-06T04:33:00Z</dcterms:modified>
</cp:coreProperties>
</file>