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4B7" w:rsidRPr="009E7FE7" w:rsidRDefault="003A34B7" w:rsidP="003A34B7">
      <w:pPr>
        <w:shd w:val="clear" w:color="auto" w:fill="FFFFFF"/>
        <w:jc w:val="center"/>
        <w:outlineLvl w:val="0"/>
        <w:rPr>
          <w:b/>
          <w:bCs/>
          <w:kern w:val="36"/>
          <w:sz w:val="28"/>
          <w:szCs w:val="28"/>
        </w:rPr>
      </w:pPr>
      <w:bookmarkStart w:id="0" w:name="_GoBack"/>
      <w:bookmarkEnd w:id="0"/>
      <w:r w:rsidRPr="009E7FE7">
        <w:rPr>
          <w:b/>
          <w:bCs/>
          <w:kern w:val="36"/>
          <w:sz w:val="28"/>
          <w:szCs w:val="28"/>
        </w:rPr>
        <w:t xml:space="preserve">Отчет о результатах деятельности </w:t>
      </w:r>
    </w:p>
    <w:p w:rsidR="003A34B7" w:rsidRPr="009E7FE7" w:rsidRDefault="003A34B7" w:rsidP="003A34B7">
      <w:pPr>
        <w:shd w:val="clear" w:color="auto" w:fill="FFFFFF"/>
        <w:jc w:val="center"/>
        <w:outlineLvl w:val="0"/>
        <w:rPr>
          <w:b/>
          <w:bCs/>
          <w:kern w:val="36"/>
          <w:sz w:val="28"/>
          <w:szCs w:val="28"/>
        </w:rPr>
      </w:pPr>
      <w:r w:rsidRPr="009E7FE7">
        <w:rPr>
          <w:b/>
          <w:bCs/>
          <w:kern w:val="36"/>
          <w:sz w:val="28"/>
          <w:szCs w:val="28"/>
        </w:rPr>
        <w:t xml:space="preserve">комитета по финансам администрации города Пыть-Яха </w:t>
      </w:r>
    </w:p>
    <w:p w:rsidR="003A34B7" w:rsidRPr="009E7FE7" w:rsidRDefault="003A34B7" w:rsidP="003A34B7">
      <w:pPr>
        <w:shd w:val="clear" w:color="auto" w:fill="FFFFFF"/>
        <w:jc w:val="center"/>
        <w:outlineLvl w:val="0"/>
        <w:rPr>
          <w:b/>
          <w:bCs/>
          <w:kern w:val="36"/>
          <w:sz w:val="28"/>
          <w:szCs w:val="28"/>
        </w:rPr>
      </w:pPr>
      <w:r w:rsidRPr="009E7FE7">
        <w:rPr>
          <w:b/>
          <w:bCs/>
          <w:kern w:val="36"/>
          <w:sz w:val="28"/>
          <w:szCs w:val="28"/>
        </w:rPr>
        <w:t>за 201</w:t>
      </w:r>
      <w:r w:rsidR="00FB23A6">
        <w:rPr>
          <w:b/>
          <w:bCs/>
          <w:kern w:val="36"/>
          <w:sz w:val="28"/>
          <w:szCs w:val="28"/>
        </w:rPr>
        <w:t>8</w:t>
      </w:r>
      <w:r w:rsidR="00C65D7F">
        <w:rPr>
          <w:b/>
          <w:bCs/>
          <w:kern w:val="36"/>
          <w:sz w:val="28"/>
          <w:szCs w:val="28"/>
        </w:rPr>
        <w:t xml:space="preserve"> </w:t>
      </w:r>
      <w:r w:rsidRPr="009E7FE7">
        <w:rPr>
          <w:b/>
          <w:bCs/>
          <w:kern w:val="36"/>
          <w:sz w:val="28"/>
          <w:szCs w:val="28"/>
        </w:rPr>
        <w:t>год</w:t>
      </w:r>
    </w:p>
    <w:p w:rsidR="003A34B7" w:rsidRPr="009E7FE7" w:rsidRDefault="003A34B7" w:rsidP="003A34B7">
      <w:pPr>
        <w:jc w:val="center"/>
        <w:outlineLvl w:val="0"/>
        <w:rPr>
          <w:b/>
          <w:bCs/>
          <w:kern w:val="36"/>
          <w:sz w:val="28"/>
          <w:szCs w:val="28"/>
          <w:highlight w:val="yellow"/>
        </w:rPr>
      </w:pPr>
    </w:p>
    <w:p w:rsidR="003A34B7" w:rsidRPr="009E7FE7" w:rsidRDefault="003A34B7" w:rsidP="003A34B7">
      <w:pPr>
        <w:autoSpaceDE w:val="0"/>
        <w:autoSpaceDN w:val="0"/>
        <w:adjustRightInd w:val="0"/>
        <w:spacing w:line="360" w:lineRule="auto"/>
        <w:ind w:firstLine="720"/>
        <w:jc w:val="both"/>
        <w:rPr>
          <w:sz w:val="28"/>
          <w:szCs w:val="28"/>
        </w:rPr>
      </w:pPr>
      <w:r w:rsidRPr="009E7FE7">
        <w:rPr>
          <w:sz w:val="28"/>
          <w:szCs w:val="28"/>
          <w:lang w:eastAsia="en-US"/>
        </w:rPr>
        <w:t>Комитет по финансам</w:t>
      </w:r>
      <w:r w:rsidRPr="009E7FE7">
        <w:rPr>
          <w:sz w:val="28"/>
          <w:szCs w:val="28"/>
        </w:rPr>
        <w:t xml:space="preserve"> администрации города Пыть-Яха (далее – комитет по финансам)</w:t>
      </w:r>
      <w:r w:rsidRPr="009E7FE7">
        <w:rPr>
          <w:sz w:val="28"/>
          <w:szCs w:val="28"/>
          <w:lang w:eastAsia="en-US"/>
        </w:rPr>
        <w:t xml:space="preserve"> является финансовым органом муниципального образования</w:t>
      </w:r>
      <w:r w:rsidRPr="009E7FE7">
        <w:rPr>
          <w:sz w:val="28"/>
          <w:szCs w:val="28"/>
        </w:rPr>
        <w:t xml:space="preserve"> </w:t>
      </w:r>
      <w:r w:rsidRPr="009E7FE7">
        <w:rPr>
          <w:sz w:val="28"/>
          <w:szCs w:val="28"/>
          <w:lang w:eastAsia="en-US"/>
        </w:rPr>
        <w:t>городской округ город Пыть-Ях без права юридического лица.</w:t>
      </w:r>
      <w:r w:rsidRPr="009E7FE7">
        <w:rPr>
          <w:sz w:val="28"/>
          <w:szCs w:val="28"/>
        </w:rPr>
        <w:t xml:space="preserve"> </w:t>
      </w:r>
    </w:p>
    <w:p w:rsidR="003A34B7" w:rsidRPr="009E7FE7" w:rsidRDefault="003A34B7" w:rsidP="003A34B7">
      <w:pPr>
        <w:pStyle w:val="ConsPlusNormal"/>
        <w:widowControl/>
        <w:tabs>
          <w:tab w:val="left" w:pos="0"/>
        </w:tabs>
        <w:spacing w:line="360" w:lineRule="auto"/>
        <w:ind w:firstLine="0"/>
        <w:jc w:val="both"/>
        <w:rPr>
          <w:rFonts w:ascii="Times New Roman" w:hAnsi="Times New Roman" w:cs="Times New Roman"/>
          <w:sz w:val="28"/>
          <w:szCs w:val="28"/>
        </w:rPr>
      </w:pPr>
      <w:r w:rsidRPr="009E7FE7">
        <w:rPr>
          <w:rFonts w:ascii="Times New Roman" w:hAnsi="Times New Roman" w:cs="Times New Roman"/>
          <w:sz w:val="28"/>
          <w:szCs w:val="28"/>
        </w:rPr>
        <w:tab/>
        <w:t>Комитет по финансам администрации города является структурным подразделением администрации города, осуществляющим составление и организацию исполнения бюджета, обеспечивающим проведение единой финансовой и бюджетной политики, уполномоченным управлять финансами муниципального образования.</w:t>
      </w:r>
    </w:p>
    <w:p w:rsidR="003A34B7" w:rsidRPr="009E7FE7" w:rsidRDefault="003A34B7" w:rsidP="003A34B7">
      <w:pPr>
        <w:pStyle w:val="ConsPlusNormal"/>
        <w:widowControl/>
        <w:spacing w:line="360" w:lineRule="auto"/>
        <w:ind w:firstLine="0"/>
        <w:jc w:val="both"/>
        <w:rPr>
          <w:rFonts w:ascii="Times New Roman" w:hAnsi="Times New Roman" w:cs="Times New Roman"/>
          <w:sz w:val="28"/>
          <w:szCs w:val="28"/>
        </w:rPr>
      </w:pPr>
      <w:r w:rsidRPr="009E7FE7">
        <w:rPr>
          <w:rFonts w:ascii="Times New Roman" w:hAnsi="Times New Roman" w:cs="Times New Roman"/>
          <w:sz w:val="28"/>
          <w:szCs w:val="28"/>
        </w:rPr>
        <w:tab/>
        <w:t>Основными нормативными документами для осуществления деятельности комитета являются: Бюджетный кодекс РФ, закон об общих принципах местного самоуправления № 131-ФЗ, Уставы ХМАО-Югры и муниципального образования, Положение о бюджетном процессе в городе Пыть-Яхе, решение Думы города о бюджете на текущий финансовый год.</w:t>
      </w:r>
    </w:p>
    <w:p w:rsidR="003A34B7" w:rsidRPr="009E7FE7" w:rsidRDefault="003A34B7" w:rsidP="003A34B7">
      <w:pPr>
        <w:spacing w:line="360" w:lineRule="auto"/>
        <w:ind w:firstLine="709"/>
        <w:jc w:val="both"/>
        <w:rPr>
          <w:sz w:val="28"/>
          <w:szCs w:val="28"/>
        </w:rPr>
      </w:pPr>
      <w:r w:rsidRPr="009E7FE7">
        <w:rPr>
          <w:sz w:val="28"/>
          <w:szCs w:val="28"/>
        </w:rPr>
        <w:t xml:space="preserve">Бюджетная система городского округа перешла на программный принцип планирования и исполнения бюджетов. </w:t>
      </w:r>
      <w:r w:rsidR="00C65D7F">
        <w:rPr>
          <w:sz w:val="28"/>
          <w:szCs w:val="28"/>
        </w:rPr>
        <w:t>На территории города</w:t>
      </w:r>
      <w:r w:rsidRPr="009E7FE7">
        <w:rPr>
          <w:sz w:val="28"/>
          <w:szCs w:val="28"/>
        </w:rPr>
        <w:t xml:space="preserve"> реализуются 19 муниципальных программ и 1 ведомственная целевая программа, целями и задачами которых является достижение целевых ориентиров, определенных Президентом Российской Федерации, направлениями социально-экономического развития города.</w:t>
      </w:r>
    </w:p>
    <w:p w:rsidR="003A34B7" w:rsidRPr="009E7FE7" w:rsidRDefault="003A34B7" w:rsidP="003A34B7">
      <w:pPr>
        <w:spacing w:line="360" w:lineRule="auto"/>
        <w:ind w:firstLine="709"/>
        <w:jc w:val="both"/>
        <w:rPr>
          <w:sz w:val="28"/>
          <w:szCs w:val="28"/>
        </w:rPr>
      </w:pPr>
      <w:r w:rsidRPr="009E7FE7">
        <w:rPr>
          <w:sz w:val="28"/>
          <w:szCs w:val="28"/>
        </w:rPr>
        <w:t>Комитет по финансам является ответственным исполнителем одной муниципальной программы «</w:t>
      </w:r>
      <w:r w:rsidR="00FB23A6" w:rsidRPr="00FB23A6">
        <w:rPr>
          <w:sz w:val="28"/>
          <w:szCs w:val="28"/>
        </w:rPr>
        <w:t>Управление муниципальными финансами в муниципальном образовании городской округ город Пыть-Ях на 2018 - 2025 годы и на период до 2030 года</w:t>
      </w:r>
      <w:r w:rsidRPr="009E7FE7">
        <w:rPr>
          <w:sz w:val="28"/>
          <w:szCs w:val="28"/>
        </w:rPr>
        <w:t>».</w:t>
      </w:r>
    </w:p>
    <w:p w:rsidR="003A34B7" w:rsidRPr="009E7FE7" w:rsidRDefault="003A34B7" w:rsidP="003A34B7">
      <w:pPr>
        <w:widowControl w:val="0"/>
        <w:autoSpaceDE w:val="0"/>
        <w:autoSpaceDN w:val="0"/>
        <w:adjustRightInd w:val="0"/>
        <w:spacing w:line="360" w:lineRule="auto"/>
        <w:ind w:firstLine="709"/>
        <w:jc w:val="both"/>
        <w:rPr>
          <w:sz w:val="28"/>
          <w:szCs w:val="28"/>
        </w:rPr>
      </w:pPr>
      <w:bookmarkStart w:id="1" w:name="Par191"/>
      <w:bookmarkEnd w:id="1"/>
      <w:r w:rsidRPr="009E7FE7">
        <w:rPr>
          <w:sz w:val="28"/>
          <w:szCs w:val="28"/>
        </w:rPr>
        <w:t>Муниципальная программа «</w:t>
      </w:r>
      <w:r w:rsidR="00FB23A6" w:rsidRPr="00FB23A6">
        <w:rPr>
          <w:sz w:val="28"/>
          <w:szCs w:val="28"/>
        </w:rPr>
        <w:t>Управление муниципальными финансами в муниципальном образовании городской округ город Пыть-Ях на 2018 - 2025 годы и на период до 2030 года</w:t>
      </w:r>
      <w:r w:rsidRPr="009E7FE7">
        <w:rPr>
          <w:sz w:val="28"/>
          <w:szCs w:val="28"/>
        </w:rPr>
        <w:t xml:space="preserve">» является «обеспечивающей», она ориентирована на создание общих условий для всех участников бюджетного процесса, в том числе </w:t>
      </w:r>
      <w:r w:rsidRPr="009E7FE7">
        <w:rPr>
          <w:sz w:val="28"/>
          <w:szCs w:val="28"/>
        </w:rPr>
        <w:lastRenderedPageBreak/>
        <w:t>структурных подразделений администрации города, реализующих другие муниципальные программы городского округа.</w:t>
      </w:r>
    </w:p>
    <w:p w:rsidR="003A34B7" w:rsidRPr="009E7FE7" w:rsidRDefault="003A34B7" w:rsidP="00FB23A6">
      <w:pPr>
        <w:widowControl w:val="0"/>
        <w:autoSpaceDE w:val="0"/>
        <w:autoSpaceDN w:val="0"/>
        <w:adjustRightInd w:val="0"/>
        <w:spacing w:line="360" w:lineRule="auto"/>
        <w:ind w:firstLine="709"/>
        <w:jc w:val="both"/>
        <w:rPr>
          <w:sz w:val="28"/>
          <w:szCs w:val="28"/>
        </w:rPr>
      </w:pPr>
      <w:r w:rsidRPr="009E7FE7">
        <w:rPr>
          <w:sz w:val="28"/>
          <w:szCs w:val="28"/>
        </w:rPr>
        <w:t>Целью реализации муниципальной программы «</w:t>
      </w:r>
      <w:r w:rsidR="00FB23A6" w:rsidRPr="00FB23A6">
        <w:rPr>
          <w:sz w:val="28"/>
          <w:szCs w:val="28"/>
        </w:rPr>
        <w:t>Управление муниципальными финансами в муниципальном образовании городской округ город Пыть-Ях на 2018 - 2025 годы и на период до 2030 года</w:t>
      </w:r>
      <w:r w:rsidRPr="009E7FE7">
        <w:rPr>
          <w:sz w:val="28"/>
          <w:szCs w:val="28"/>
        </w:rPr>
        <w:t xml:space="preserve">» является </w:t>
      </w:r>
      <w:r w:rsidR="00FB23A6">
        <w:rPr>
          <w:sz w:val="28"/>
          <w:szCs w:val="28"/>
        </w:rPr>
        <w:t>о</w:t>
      </w:r>
      <w:r w:rsidR="00FB23A6" w:rsidRPr="00FB23A6">
        <w:rPr>
          <w:sz w:val="28"/>
          <w:szCs w:val="28"/>
        </w:rPr>
        <w:t>беспечение долгосрочной сбалансированности и устойчивости бюджетной системы, повышение качества управления муниципальными финансами муниципального образования городской округ город Пыть-</w:t>
      </w:r>
      <w:proofErr w:type="gramStart"/>
      <w:r w:rsidR="00FB23A6" w:rsidRPr="00FB23A6">
        <w:rPr>
          <w:sz w:val="28"/>
          <w:szCs w:val="28"/>
        </w:rPr>
        <w:t>Ях.</w:t>
      </w:r>
      <w:r w:rsidRPr="009E7FE7">
        <w:rPr>
          <w:sz w:val="28"/>
          <w:szCs w:val="28"/>
        </w:rPr>
        <w:t>.</w:t>
      </w:r>
      <w:proofErr w:type="gramEnd"/>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Достижение цели осуществляется путем решения обозначенных задач в рамках двух подпрограмм.</w:t>
      </w:r>
    </w:p>
    <w:p w:rsidR="003A34B7" w:rsidRPr="009E7FE7" w:rsidRDefault="00676C9C" w:rsidP="003A34B7">
      <w:pPr>
        <w:widowControl w:val="0"/>
        <w:autoSpaceDE w:val="0"/>
        <w:autoSpaceDN w:val="0"/>
        <w:adjustRightInd w:val="0"/>
        <w:spacing w:line="360" w:lineRule="auto"/>
        <w:ind w:firstLine="709"/>
        <w:jc w:val="both"/>
        <w:rPr>
          <w:b/>
          <w:sz w:val="28"/>
          <w:szCs w:val="28"/>
        </w:rPr>
      </w:pPr>
      <w:hyperlink r:id="rId5" w:anchor="Par684#Par684" w:history="1">
        <w:r w:rsidR="003A34B7" w:rsidRPr="009E7FE7">
          <w:rPr>
            <w:rStyle w:val="a5"/>
            <w:b/>
            <w:color w:val="auto"/>
            <w:sz w:val="28"/>
            <w:szCs w:val="28"/>
          </w:rPr>
          <w:t>Подпрограмма I</w:t>
        </w:r>
      </w:hyperlink>
      <w:r w:rsidR="003A34B7" w:rsidRPr="009E7FE7">
        <w:rPr>
          <w:b/>
          <w:sz w:val="28"/>
          <w:szCs w:val="28"/>
        </w:rPr>
        <w:t xml:space="preserve"> "Организация бюджетного процесса в городском округе".</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Данная подпрограмма направлена на достижение оптимального, устойчивого и экономически обоснованного соответствия расходных обязательств бюджета городского округа источникам их финансового обеспечения, обеспечения условий и непосредственно формирование проекта бюджета городского округа, организация его исполнения и составление бюджетной отчетности.</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b/>
          <w:sz w:val="28"/>
          <w:szCs w:val="28"/>
        </w:rPr>
        <w:t>Задача 1 "Долгосрочное бюджетное планирование</w:t>
      </w:r>
      <w:r w:rsidRPr="009E7FE7">
        <w:rPr>
          <w:sz w:val="28"/>
          <w:szCs w:val="28"/>
        </w:rPr>
        <w:t>" осуществляется посредством реализации программных мероприятий по разработке Бюджетного прогноза городского округа на долгосрочный период и его совершенствования.</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 xml:space="preserve">Основной целью является определение финансовых возможностей, условий и </w:t>
      </w:r>
      <w:proofErr w:type="gramStart"/>
      <w:r w:rsidRPr="009E7FE7">
        <w:rPr>
          <w:sz w:val="28"/>
          <w:szCs w:val="28"/>
        </w:rPr>
        <w:t>предпосылок для достижения ключевых целей</w:t>
      </w:r>
      <w:proofErr w:type="gramEnd"/>
      <w:r w:rsidRPr="009E7FE7">
        <w:rPr>
          <w:sz w:val="28"/>
          <w:szCs w:val="28"/>
        </w:rPr>
        <w:t xml:space="preserve"> и результатов муниципальной политики, сформулированных в Стратегии социально-экономического развития города до 2020 года и на период до 2030 года, указах Президента Российской Федерации и решениях Правительства Российской Федерации, при обеспечении долгосрочной сбалансированности и устойчивости бюджетной системы городского округа и повышении эффективности бюджетных расходов.</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Бюджетный прогноз городского округа будет разрабатываться, начиная с 201</w:t>
      </w:r>
      <w:r w:rsidR="00724B05" w:rsidRPr="009E7FE7">
        <w:rPr>
          <w:sz w:val="28"/>
          <w:szCs w:val="28"/>
        </w:rPr>
        <w:t>7</w:t>
      </w:r>
      <w:r w:rsidRPr="009E7FE7">
        <w:rPr>
          <w:sz w:val="28"/>
          <w:szCs w:val="28"/>
        </w:rPr>
        <w:t xml:space="preserve"> года, каждые 3 года на 6 и более лет на основе прогноза социально-экономического развития и будет являться основой для составления бюджета </w:t>
      </w:r>
      <w:r w:rsidRPr="009E7FE7">
        <w:rPr>
          <w:sz w:val="28"/>
          <w:szCs w:val="28"/>
        </w:rPr>
        <w:lastRenderedPageBreak/>
        <w:t>городского округа на очередной финансовый год и плановый период.</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b/>
          <w:sz w:val="28"/>
          <w:szCs w:val="28"/>
        </w:rPr>
        <w:t>Задача 2 "Нормативное правовое регулирование в сфере бюджетного процесса и его совершенствование"</w:t>
      </w:r>
      <w:r w:rsidRPr="009E7FE7">
        <w:rPr>
          <w:sz w:val="28"/>
          <w:szCs w:val="28"/>
        </w:rPr>
        <w:t xml:space="preserve"> осуществляется посредством реализации следующих основных мероприятий:</w:t>
      </w:r>
    </w:p>
    <w:p w:rsidR="003A34B7" w:rsidRPr="009E7FE7" w:rsidRDefault="003A34B7" w:rsidP="003A34B7">
      <w:pPr>
        <w:widowControl w:val="0"/>
        <w:autoSpaceDE w:val="0"/>
        <w:autoSpaceDN w:val="0"/>
        <w:adjustRightInd w:val="0"/>
        <w:spacing w:line="360" w:lineRule="auto"/>
        <w:ind w:firstLine="709"/>
        <w:jc w:val="both"/>
        <w:rPr>
          <w:b/>
          <w:sz w:val="28"/>
          <w:szCs w:val="28"/>
        </w:rPr>
      </w:pPr>
      <w:r w:rsidRPr="009E7FE7">
        <w:rPr>
          <w:b/>
          <w:sz w:val="28"/>
          <w:szCs w:val="28"/>
        </w:rPr>
        <w:t>1.</w:t>
      </w:r>
      <w:r w:rsidRPr="009E7FE7">
        <w:rPr>
          <w:sz w:val="28"/>
          <w:szCs w:val="28"/>
        </w:rPr>
        <w:t xml:space="preserve"> </w:t>
      </w:r>
      <w:r w:rsidRPr="009E7FE7">
        <w:rPr>
          <w:b/>
          <w:sz w:val="28"/>
          <w:szCs w:val="28"/>
        </w:rPr>
        <w:t>Совершенствование нормативного правового регулирования в сфере бюджетного процесса.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Разработка и утверждение необходимых правовых актов для совершенствования бюджетного законодательства способствует качественной организации планирования и исполнения бюджета городского округа, в том числе путем оказания методической поддержки участникам бюджетного процесса.</w:t>
      </w:r>
    </w:p>
    <w:p w:rsidR="00FC3E17" w:rsidRDefault="003A34B7" w:rsidP="00476802">
      <w:pPr>
        <w:widowControl w:val="0"/>
        <w:autoSpaceDE w:val="0"/>
        <w:autoSpaceDN w:val="0"/>
        <w:adjustRightInd w:val="0"/>
        <w:spacing w:line="360" w:lineRule="auto"/>
        <w:ind w:firstLine="709"/>
        <w:jc w:val="both"/>
        <w:rPr>
          <w:sz w:val="28"/>
          <w:szCs w:val="28"/>
        </w:rPr>
      </w:pPr>
      <w:r w:rsidRPr="009E7FE7">
        <w:rPr>
          <w:sz w:val="28"/>
          <w:szCs w:val="28"/>
        </w:rPr>
        <w:t xml:space="preserve">В целях совершенствования бюджетного законодательства городского округа, комитетом по финансам разработан Порядок составления проекта решения о </w:t>
      </w:r>
      <w:r w:rsidR="009E7FE7" w:rsidRPr="009E7FE7">
        <w:rPr>
          <w:sz w:val="28"/>
          <w:szCs w:val="28"/>
        </w:rPr>
        <w:t>бюджете на</w:t>
      </w:r>
      <w:r w:rsidRPr="009E7FE7">
        <w:rPr>
          <w:sz w:val="28"/>
          <w:szCs w:val="28"/>
        </w:rPr>
        <w:t xml:space="preserve"> очередной финансовый год и плановый период, который утвержден постановлением администрации </w:t>
      </w:r>
      <w:r w:rsidR="009E7FE7" w:rsidRPr="009E7FE7">
        <w:rPr>
          <w:sz w:val="28"/>
          <w:szCs w:val="28"/>
        </w:rPr>
        <w:t>города от</w:t>
      </w:r>
      <w:r w:rsidRPr="009E7FE7">
        <w:rPr>
          <w:sz w:val="28"/>
          <w:szCs w:val="28"/>
        </w:rPr>
        <w:t xml:space="preserve"> 14.07.2014 № 175-па. Порядок предусматривает утверждение постоянного графика подготовки, рассмотрения документов и материалов, разрабатываемых при составлении проекта бюджета города, а также уточняет полномочия участников бюджетного процесса и взаимодействие между ними. </w:t>
      </w:r>
    </w:p>
    <w:p w:rsidR="00FC3E17" w:rsidRDefault="00FC3E17" w:rsidP="00476802">
      <w:pPr>
        <w:widowControl w:val="0"/>
        <w:autoSpaceDE w:val="0"/>
        <w:autoSpaceDN w:val="0"/>
        <w:adjustRightInd w:val="0"/>
        <w:spacing w:line="360" w:lineRule="auto"/>
        <w:ind w:firstLine="709"/>
        <w:jc w:val="both"/>
        <w:rPr>
          <w:sz w:val="28"/>
          <w:szCs w:val="28"/>
        </w:rPr>
      </w:pPr>
      <w:r w:rsidRPr="009E7FE7">
        <w:rPr>
          <w:sz w:val="28"/>
          <w:szCs w:val="28"/>
        </w:rPr>
        <w:t>В целях повышения эффективности использования бюджетных средств и увеличению поступлений налоговых и неналоговых доходов бюджета муниципального образования городской округ город Пыть-Ях на 201</w:t>
      </w:r>
      <w:r w:rsidR="00FB23A6">
        <w:rPr>
          <w:sz w:val="28"/>
          <w:szCs w:val="28"/>
        </w:rPr>
        <w:t>8</w:t>
      </w:r>
      <w:r w:rsidRPr="009E7FE7">
        <w:rPr>
          <w:sz w:val="28"/>
          <w:szCs w:val="28"/>
        </w:rPr>
        <w:t xml:space="preserve"> год на уровне муниципального образования принят план мероприятий по росту доходов и оптимизации расходов бюджета на 201</w:t>
      </w:r>
      <w:r w:rsidR="00FB23A6">
        <w:rPr>
          <w:sz w:val="28"/>
          <w:szCs w:val="28"/>
        </w:rPr>
        <w:t>8</w:t>
      </w:r>
      <w:r w:rsidRPr="009E7FE7">
        <w:rPr>
          <w:sz w:val="28"/>
          <w:szCs w:val="28"/>
        </w:rPr>
        <w:t xml:space="preserve"> год, </w:t>
      </w:r>
      <w:r w:rsidR="00FB23A6" w:rsidRPr="00FB23A6">
        <w:rPr>
          <w:sz w:val="28"/>
          <w:szCs w:val="28"/>
        </w:rPr>
        <w:t>утвержденный распоряжением администрации города от 27.12.2017 № 2484-ра «О мероприятиях по исполнению решения Думы «О бюджете города Пыть-Яха на 2018 год и плановый период 2019-2020 годов» (в ред. от 07.03.2018 № 458-ра, от 05.07.2018 № 1119-ра, от 25.12.2018 № 2412-ра)</w:t>
      </w:r>
      <w:r w:rsidRPr="009E7FE7">
        <w:rPr>
          <w:sz w:val="28"/>
          <w:szCs w:val="28"/>
        </w:rPr>
        <w:t>.</w:t>
      </w:r>
    </w:p>
    <w:p w:rsidR="00FC3E17" w:rsidRPr="00FB23A6" w:rsidRDefault="00FB23A6" w:rsidP="00FC3E17">
      <w:pPr>
        <w:suppressAutoHyphens/>
        <w:spacing w:line="360" w:lineRule="auto"/>
        <w:ind w:firstLine="708"/>
        <w:jc w:val="both"/>
        <w:rPr>
          <w:sz w:val="28"/>
          <w:szCs w:val="28"/>
        </w:rPr>
      </w:pPr>
      <w:r w:rsidRPr="00FB23A6">
        <w:rPr>
          <w:sz w:val="28"/>
          <w:szCs w:val="28"/>
        </w:rPr>
        <w:t>Планируемый бюджетный эффект на 2018 год составляет 118 343,7 тыс. рублей или 9,4% от собственных доходов, которые по уточненному плану составляют – 1 254 776,9 тыс. руб.</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lastRenderedPageBreak/>
        <w:t>Мероприятия по росту доходов бюджета муниципального образования за 2018 год исполнены в сумме 43 717,1 тыс. руб., что составляет 107,7 % к плану на 2018 год. За 2018 год проведены следующие мероприятия по привлечению дополнительных доходов в бюджет муниципального образования:</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согласно решения Думы города от 27.12.2017 г № 135 "Об утверждении Прогнозного плана (программы) приватизации имущества, находящегося в собственности муниципального образования городской округ город Пыть-Ях, на 2018 год и плановый период 2019 и 2020 годов" (в ред. от 21.03.2018 № 154, от 29.05.2018 № 169, от 30.07.2018 № 180, от 14.12.2018 №213), на проведенных аукционах реализовано 7 объектов, полученный бюджетный эффект составил – 13 101,1 тыс. руб.</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заключено 15 договоров купли-продажи жилых помещений, занимаемых по договорам найма жилищного фонда. Дополнительные поступления в бюджет от реализации данного мероприятия составили 2 160,0 тыс. рублей;</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xml:space="preserve">- проведена претензионная работа по арендным платежам за земельные участки и муниципальное имущество. По состоянию на 01.01.2019 г. предъявлено 158 претензий на сумму 75 313,4 тыс. рублей, оплачено по претензиям – 15 730,5 тыс. рублей. Направлено в суд 103 исковых заявлений на сумму 24 111,6 тыс. руб., вынесено 111 решений суда на сумму 15 413,2 тыс. рублей, поступило по решениям суда – 11 130,7 тыс. рублей. Оплачено пени в сумме 1 258,8 тыс. рублей. </w:t>
      </w:r>
      <w:r w:rsidRPr="00FB23A6">
        <w:rPr>
          <w:sz w:val="28"/>
          <w:szCs w:val="28"/>
        </w:rPr>
        <w:tab/>
        <w:t>Запланированные мероприятия по оптимизации расходов бюджета муниципального образования исполнены на 100,0% к году и бюджетный эффект по состоянию на 01.01.2019 года составил 77 746,6 тыс. рублей, в том числе:</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внесены изменения в сводную бюджетную роспись расходов бюджета на 2018 год за счет оптимизации расходов на текущее содержание органов местного самоуправления в сумме 1 271,1 тыс. рублей;</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внесены изменения в сводную бюджетную роспись расходов бюджета на 2018 год за счет оптимизации расходов текущее содержание казенных учреждений в сумме 4 148,0 тыс. рублей;</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xml:space="preserve">- внесены изменения в сводную бюджетную роспись расходов бюджета на </w:t>
      </w:r>
      <w:r w:rsidRPr="00FB23A6">
        <w:rPr>
          <w:sz w:val="28"/>
          <w:szCs w:val="28"/>
        </w:rPr>
        <w:lastRenderedPageBreak/>
        <w:t>2018 год по оптимизации расходов на финансовое обеспечение выполнения муниципального задания на сумму 30 991,1 тыс. рублей, в том числе за счет сокращения расходных обязательств текущего характера и перераспределения средств на более приоритетные направления, из них: в сфере образования – 26 256,9 тыс. рублей; в сфере культуры – 2 020,5 тыс. рублей; в сфере физической культуры – 1 299,8 тыс. рублей; в иных сферах 1 413,9 тыс. рублей;</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сокращение бюджетных средств по итогам закупочных процедур составило 15 550,5 тыс. рублей;</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проводится инвентаризация мероприятий муниципальных программ и непрограммных расходов. За 2018 год сокращение составило 15 331,5 тыс. рублей, в том числе в части обеспечения доли софинансирования в соответствии с заключёнными соглашениями о предоставлении субсидии;</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Реорганизация действующей сети муниципальных учреждений и снижение численности работающих в муниципальных учреждениях – на сумму 1 659,3 тыс. рублей. В соответствии с распоряжениями администрации города от 02.04.2018 № 604-ра, от 18.07.2018 №1175-ра «Об изменении численности штатных единиц в муниципальном учреждении" уменьшена численность работников в МКУ «Центр бухгалтерского и комплексного обслуживания муниципальных учреждений города Пыть-Яха» и среднегодовое составило 10 единиц;</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за счёт снижения муниципальными учреждениями объема потребления воды, тепловой и электрической энергии бюджетный эффект составил 1 713,7 тыс. рублей;</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xml:space="preserve">-за счёт расширения перечня и объёма платных услуг, оказываемых бюджетными и автономными учреждениями городского округа бюджетный эффект, составил 2 447,0 тыс. рублей. Увеличен объем средств от приносящей доход деятельности автономных и бюджетных учреждений за счёт оказания услуг по программам дополнительного образования и реализаций новых программ на платной основе, в том числе "Деловой английский язык" для обучающихся с 1-11 классов, "Группа продленного дня" для обучающихся с 1-4 классы, "Факультативные предметные спецкурсы" для обучающихся с 8-11 классы.  </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lastRenderedPageBreak/>
        <w:t>- бюджетный эффект за счёт передачи муниципальных услуг на исполнение в многофункциональный центр предоставления услуг составил 634,4 тыс. рублей. По состоянию на 01.01.2019 на частичное исполнение в МБУ "МФЦ города Пыть-Яха" передано 4 муниципальные услуги: утверждение схемы расположения земельного участка или земельных участков на кадастровом плане территории;</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xml:space="preserve">- передача муниципальных услуг некоммерческим организациям и социальному предпринимательству на сумму 4 000,0 тыс. рублей. По состоянию на 01.01.2019 финансирование негосударственных социально ориентированных некоммерческих организаций на предоставление услуг (работ), в социальной сфере производится в соответствии с планом- графиком, утверждённым приложением 1 к Соглашению № 14 о предоставлении из бюджета МО </w:t>
      </w:r>
      <w:proofErr w:type="spellStart"/>
      <w:r w:rsidRPr="00FB23A6">
        <w:rPr>
          <w:sz w:val="28"/>
          <w:szCs w:val="28"/>
        </w:rPr>
        <w:t>г.о</w:t>
      </w:r>
      <w:proofErr w:type="spellEnd"/>
      <w:r w:rsidRPr="00FB23A6">
        <w:rPr>
          <w:sz w:val="28"/>
          <w:szCs w:val="28"/>
        </w:rPr>
        <w:t>. город Пыть-Ях субсидии, предусмотренной муниципальной программой "Развитие образования в муниципальном образовании городской округ город Пыть-Ях на 2018-2025 годы и на период до 2030 года".</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xml:space="preserve">Мероприятия по сокращению муниципального долга и расходов на его обслуживание: </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в связи с погашением муниципального долга в сумме 154 690,0 тыс. рублей, на отчетную дату, отношение муниципального долга к доходам бюджета городского округа без учета безвозмездных поступлений сложилось в размере 14,1 %. Погашение муниципального долга на 01.01.2019 составило 12,3 % к годовому объему доходов без учета безвозмездных поступлений.</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 за отчетный период расходы на обслуживание муниципального долга составили 5 462,0 тыс. руб.</w:t>
      </w:r>
    </w:p>
    <w:p w:rsidR="00FB23A6" w:rsidRPr="00FB23A6" w:rsidRDefault="00FB23A6" w:rsidP="00FB23A6">
      <w:pPr>
        <w:widowControl w:val="0"/>
        <w:autoSpaceDE w:val="0"/>
        <w:autoSpaceDN w:val="0"/>
        <w:adjustRightInd w:val="0"/>
        <w:spacing w:line="360" w:lineRule="auto"/>
        <w:ind w:firstLine="709"/>
        <w:jc w:val="both"/>
        <w:rPr>
          <w:sz w:val="28"/>
          <w:szCs w:val="28"/>
        </w:rPr>
      </w:pPr>
      <w:r w:rsidRPr="00FB23A6">
        <w:rPr>
          <w:sz w:val="28"/>
          <w:szCs w:val="28"/>
        </w:rPr>
        <w:t>Бюджетный эффект по итогам 2018 года составил 121 463,7 тыс. рублей или 9,5 % к исполнению собственных доходов муниципального образования.</w:t>
      </w:r>
    </w:p>
    <w:p w:rsidR="003A34B7" w:rsidRPr="009E7FE7" w:rsidRDefault="003A34B7" w:rsidP="00FB23A6">
      <w:pPr>
        <w:widowControl w:val="0"/>
        <w:autoSpaceDE w:val="0"/>
        <w:autoSpaceDN w:val="0"/>
        <w:adjustRightInd w:val="0"/>
        <w:spacing w:line="360" w:lineRule="auto"/>
        <w:ind w:firstLine="709"/>
        <w:jc w:val="both"/>
        <w:rPr>
          <w:sz w:val="28"/>
          <w:szCs w:val="28"/>
        </w:rPr>
      </w:pPr>
      <w:r w:rsidRPr="009E7FE7">
        <w:rPr>
          <w:sz w:val="28"/>
          <w:szCs w:val="28"/>
        </w:rPr>
        <w:t xml:space="preserve">Администрацией города </w:t>
      </w:r>
      <w:r w:rsidR="00854863" w:rsidRPr="009E7FE7">
        <w:rPr>
          <w:sz w:val="28"/>
          <w:szCs w:val="28"/>
        </w:rPr>
        <w:t>разработан</w:t>
      </w:r>
      <w:r w:rsidRPr="009E7FE7">
        <w:rPr>
          <w:sz w:val="28"/>
          <w:szCs w:val="28"/>
        </w:rPr>
        <w:t xml:space="preserve"> аналогичный план мероприятий по росту доходов, оптимизации расходов местных бюджетов и сокращению муниципального долга на 201</w:t>
      </w:r>
      <w:r w:rsidR="00FB23A6">
        <w:rPr>
          <w:sz w:val="28"/>
          <w:szCs w:val="28"/>
        </w:rPr>
        <w:t>9</w:t>
      </w:r>
      <w:r w:rsidR="00854863" w:rsidRPr="009E7FE7">
        <w:rPr>
          <w:sz w:val="28"/>
          <w:szCs w:val="28"/>
        </w:rPr>
        <w:t>-20</w:t>
      </w:r>
      <w:r w:rsidR="00EC5053">
        <w:rPr>
          <w:sz w:val="28"/>
          <w:szCs w:val="28"/>
        </w:rPr>
        <w:t>2</w:t>
      </w:r>
      <w:r w:rsidR="00FB23A6">
        <w:rPr>
          <w:sz w:val="28"/>
          <w:szCs w:val="28"/>
        </w:rPr>
        <w:t>1</w:t>
      </w:r>
      <w:r w:rsidRPr="009E7FE7">
        <w:rPr>
          <w:sz w:val="28"/>
          <w:szCs w:val="28"/>
        </w:rPr>
        <w:t xml:space="preserve"> год</w:t>
      </w:r>
      <w:r w:rsidR="00854863" w:rsidRPr="009E7FE7">
        <w:rPr>
          <w:sz w:val="28"/>
          <w:szCs w:val="28"/>
        </w:rPr>
        <w:t>ы</w:t>
      </w:r>
      <w:r w:rsidRPr="009E7FE7">
        <w:rPr>
          <w:sz w:val="28"/>
          <w:szCs w:val="28"/>
        </w:rPr>
        <w:t>.</w:t>
      </w:r>
    </w:p>
    <w:p w:rsidR="003A34B7" w:rsidRPr="009E7FE7" w:rsidRDefault="003A34B7" w:rsidP="003A34B7">
      <w:pPr>
        <w:autoSpaceDE w:val="0"/>
        <w:autoSpaceDN w:val="0"/>
        <w:adjustRightInd w:val="0"/>
        <w:ind w:firstLine="720"/>
        <w:jc w:val="both"/>
        <w:rPr>
          <w:sz w:val="28"/>
          <w:szCs w:val="28"/>
          <w:lang w:eastAsia="en-US"/>
        </w:rPr>
      </w:pPr>
    </w:p>
    <w:p w:rsidR="003A34B7" w:rsidRPr="009E7FE7" w:rsidRDefault="003A34B7" w:rsidP="003A34B7">
      <w:pPr>
        <w:widowControl w:val="0"/>
        <w:autoSpaceDE w:val="0"/>
        <w:autoSpaceDN w:val="0"/>
        <w:adjustRightInd w:val="0"/>
        <w:spacing w:line="360" w:lineRule="auto"/>
        <w:ind w:firstLine="709"/>
        <w:jc w:val="both"/>
        <w:rPr>
          <w:b/>
          <w:sz w:val="28"/>
          <w:szCs w:val="28"/>
        </w:rPr>
      </w:pPr>
      <w:r w:rsidRPr="009E7FE7">
        <w:rPr>
          <w:b/>
          <w:sz w:val="28"/>
          <w:szCs w:val="28"/>
        </w:rPr>
        <w:t>2.</w:t>
      </w:r>
      <w:r w:rsidRPr="009E7FE7">
        <w:rPr>
          <w:sz w:val="28"/>
          <w:szCs w:val="28"/>
        </w:rPr>
        <w:t xml:space="preserve"> </w:t>
      </w:r>
      <w:r w:rsidRPr="009E7FE7">
        <w:rPr>
          <w:b/>
          <w:sz w:val="28"/>
          <w:szCs w:val="28"/>
        </w:rPr>
        <w:t xml:space="preserve">Организация планирования, исполнения бюджета городского округа </w:t>
      </w:r>
      <w:r w:rsidRPr="009E7FE7">
        <w:rPr>
          <w:b/>
          <w:sz w:val="28"/>
          <w:szCs w:val="28"/>
        </w:rPr>
        <w:lastRenderedPageBreak/>
        <w:t>и формирование отчетности об исполнении бюджета городского округа.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Результатом реализации данного мероприятия является:</w:t>
      </w:r>
    </w:p>
    <w:p w:rsidR="003A34B7" w:rsidRPr="009E7FE7" w:rsidRDefault="003A34B7" w:rsidP="003A34B7">
      <w:pPr>
        <w:pStyle w:val="1"/>
        <w:widowControl w:val="0"/>
        <w:numPr>
          <w:ilvl w:val="0"/>
          <w:numId w:val="3"/>
        </w:numPr>
        <w:autoSpaceDE w:val="0"/>
        <w:autoSpaceDN w:val="0"/>
        <w:adjustRightInd w:val="0"/>
        <w:spacing w:after="0" w:line="360" w:lineRule="auto"/>
        <w:ind w:left="0" w:firstLine="709"/>
        <w:contextualSpacing/>
        <w:jc w:val="both"/>
        <w:rPr>
          <w:rFonts w:ascii="Times New Roman" w:hAnsi="Times New Roman" w:cs="Times New Roman"/>
          <w:b/>
          <w:sz w:val="28"/>
          <w:szCs w:val="28"/>
        </w:rPr>
      </w:pPr>
      <w:r w:rsidRPr="009E7FE7">
        <w:rPr>
          <w:rFonts w:ascii="Times New Roman" w:hAnsi="Times New Roman" w:cs="Times New Roman"/>
          <w:b/>
          <w:sz w:val="28"/>
          <w:szCs w:val="28"/>
        </w:rPr>
        <w:t xml:space="preserve"> принятый в установленные сроки и соответствующий требованиям бюджетного законодательства Российской Федерации бюджет городского округа на очередной финансовый год и плановый период;</w:t>
      </w:r>
    </w:p>
    <w:p w:rsidR="003A34B7" w:rsidRPr="009E7FE7" w:rsidRDefault="003A34B7" w:rsidP="003A34B7">
      <w:pPr>
        <w:pStyle w:val="1"/>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9E7FE7">
        <w:rPr>
          <w:rFonts w:ascii="Times New Roman" w:hAnsi="Times New Roman" w:cs="Times New Roman"/>
          <w:sz w:val="28"/>
          <w:szCs w:val="28"/>
        </w:rPr>
        <w:t>Организация бюджетного процесса в городском округе осуществляется в соответствии с Бюджетным кодексом Российской Федерации, решением Думы города от 21.03.2014 № 258 «Об утверждении Положения о бюджетном процессе в муниципальном образовании городской округ город Пыть-Ях», которым определены основные этапы.</w:t>
      </w:r>
    </w:p>
    <w:p w:rsidR="003A34B7" w:rsidRPr="009E7FE7" w:rsidRDefault="003A34B7" w:rsidP="003A34B7">
      <w:pPr>
        <w:pStyle w:val="1"/>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9E7FE7">
        <w:rPr>
          <w:rFonts w:ascii="Times New Roman" w:hAnsi="Times New Roman" w:cs="Times New Roman"/>
          <w:sz w:val="28"/>
          <w:szCs w:val="28"/>
        </w:rPr>
        <w:t xml:space="preserve">Первым этапом организации и осуществления бюджетного процесса является составление, рассмотрение и утверждение проекта бюджета на очередной финансовый год и плановый период. Взаимодействие всех участников бюджетного процесса на первом его этапе, регулируются положениями постановления администрации </w:t>
      </w:r>
      <w:r w:rsidR="009E7FE7" w:rsidRPr="009E7FE7">
        <w:rPr>
          <w:rFonts w:ascii="Times New Roman" w:hAnsi="Times New Roman" w:cs="Times New Roman"/>
          <w:sz w:val="28"/>
          <w:szCs w:val="28"/>
        </w:rPr>
        <w:t>города от</w:t>
      </w:r>
      <w:r w:rsidRPr="009E7FE7">
        <w:rPr>
          <w:rFonts w:ascii="Times New Roman" w:hAnsi="Times New Roman" w:cs="Times New Roman"/>
          <w:sz w:val="28"/>
          <w:szCs w:val="28"/>
        </w:rPr>
        <w:t xml:space="preserve"> 14.07.2014 № 175-па «О Порядке составления проекта решения о бюджете города на очередной финансовый год и плановый период».</w:t>
      </w:r>
      <w:r w:rsidRPr="009E7FE7">
        <w:rPr>
          <w:rFonts w:ascii="Times New Roman" w:hAnsi="Times New Roman" w:cs="Times New Roman"/>
          <w:sz w:val="28"/>
          <w:szCs w:val="28"/>
        </w:rPr>
        <w:tab/>
      </w:r>
    </w:p>
    <w:p w:rsidR="003A34B7" w:rsidRPr="009E7FE7" w:rsidRDefault="003A34B7" w:rsidP="003A34B7">
      <w:pPr>
        <w:pStyle w:val="1"/>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9E7FE7">
        <w:rPr>
          <w:rFonts w:ascii="Times New Roman" w:hAnsi="Times New Roman" w:cs="Times New Roman"/>
          <w:sz w:val="28"/>
          <w:szCs w:val="28"/>
        </w:rPr>
        <w:t xml:space="preserve">С целью установления конкретных сроков представления </w:t>
      </w:r>
      <w:r w:rsidR="009E7FE7" w:rsidRPr="009E7FE7">
        <w:rPr>
          <w:rFonts w:ascii="Times New Roman" w:hAnsi="Times New Roman" w:cs="Times New Roman"/>
          <w:sz w:val="28"/>
          <w:szCs w:val="28"/>
        </w:rPr>
        <w:t>материалов утвержден</w:t>
      </w:r>
      <w:r w:rsidRPr="009E7FE7">
        <w:rPr>
          <w:rFonts w:ascii="Times New Roman" w:hAnsi="Times New Roman" w:cs="Times New Roman"/>
          <w:sz w:val="28"/>
          <w:szCs w:val="28"/>
        </w:rPr>
        <w:t xml:space="preserve"> График подготовки, рассмотрения документов и материалов, разрабатываемых при составлении проекта решения о бюджете города на очередной финансовый год распоряжением администрации города от </w:t>
      </w:r>
      <w:r w:rsidR="00730674" w:rsidRPr="009E7FE7">
        <w:rPr>
          <w:rFonts w:ascii="Times New Roman" w:hAnsi="Times New Roman" w:cs="Times New Roman"/>
          <w:sz w:val="28"/>
          <w:szCs w:val="28"/>
        </w:rPr>
        <w:t>04</w:t>
      </w:r>
      <w:r w:rsidRPr="009E7FE7">
        <w:rPr>
          <w:rFonts w:ascii="Times New Roman" w:hAnsi="Times New Roman" w:cs="Times New Roman"/>
          <w:sz w:val="28"/>
          <w:szCs w:val="28"/>
        </w:rPr>
        <w:t>.0</w:t>
      </w:r>
      <w:r w:rsidR="00730674" w:rsidRPr="009E7FE7">
        <w:rPr>
          <w:rFonts w:ascii="Times New Roman" w:hAnsi="Times New Roman" w:cs="Times New Roman"/>
          <w:sz w:val="28"/>
          <w:szCs w:val="28"/>
        </w:rPr>
        <w:t>6</w:t>
      </w:r>
      <w:r w:rsidRPr="009E7FE7">
        <w:rPr>
          <w:rFonts w:ascii="Times New Roman" w:hAnsi="Times New Roman" w:cs="Times New Roman"/>
          <w:sz w:val="28"/>
          <w:szCs w:val="28"/>
        </w:rPr>
        <w:t>.201</w:t>
      </w:r>
      <w:r w:rsidR="00730674" w:rsidRPr="009E7FE7">
        <w:rPr>
          <w:rFonts w:ascii="Times New Roman" w:hAnsi="Times New Roman" w:cs="Times New Roman"/>
          <w:sz w:val="28"/>
          <w:szCs w:val="28"/>
        </w:rPr>
        <w:t>5</w:t>
      </w:r>
      <w:r w:rsidRPr="009E7FE7">
        <w:rPr>
          <w:rFonts w:ascii="Times New Roman" w:hAnsi="Times New Roman" w:cs="Times New Roman"/>
          <w:sz w:val="28"/>
          <w:szCs w:val="28"/>
        </w:rPr>
        <w:t xml:space="preserve"> № 1</w:t>
      </w:r>
      <w:r w:rsidR="00730674" w:rsidRPr="009E7FE7">
        <w:rPr>
          <w:rFonts w:ascii="Times New Roman" w:hAnsi="Times New Roman" w:cs="Times New Roman"/>
          <w:sz w:val="28"/>
          <w:szCs w:val="28"/>
        </w:rPr>
        <w:t>208</w:t>
      </w:r>
      <w:r w:rsidRPr="009E7FE7">
        <w:rPr>
          <w:rFonts w:ascii="Times New Roman" w:hAnsi="Times New Roman" w:cs="Times New Roman"/>
          <w:sz w:val="28"/>
          <w:szCs w:val="28"/>
        </w:rPr>
        <w:t xml:space="preserve">-ра. </w:t>
      </w:r>
    </w:p>
    <w:p w:rsidR="009C40C7" w:rsidRDefault="009C40C7" w:rsidP="009C40C7">
      <w:pPr>
        <w:pStyle w:val="1"/>
        <w:widowControl w:val="0"/>
        <w:autoSpaceDE w:val="0"/>
        <w:autoSpaceDN w:val="0"/>
        <w:adjustRightInd w:val="0"/>
        <w:spacing w:after="0" w:line="360" w:lineRule="auto"/>
        <w:ind w:left="0" w:firstLine="709"/>
        <w:jc w:val="both"/>
        <w:rPr>
          <w:rFonts w:ascii="Times New Roman" w:hAnsi="Times New Roman" w:cs="Times New Roman"/>
          <w:sz w:val="28"/>
          <w:szCs w:val="24"/>
        </w:rPr>
      </w:pPr>
      <w:r w:rsidRPr="007D146A">
        <w:rPr>
          <w:rFonts w:ascii="Times New Roman" w:hAnsi="Times New Roman" w:cs="Times New Roman"/>
          <w:sz w:val="28"/>
          <w:szCs w:val="24"/>
        </w:rPr>
        <w:t xml:space="preserve">Основные направления </w:t>
      </w:r>
      <w:r w:rsidRPr="001F5E83">
        <w:rPr>
          <w:rFonts w:ascii="Times New Roman" w:hAnsi="Times New Roman" w:cs="Times New Roman"/>
          <w:sz w:val="28"/>
          <w:szCs w:val="24"/>
        </w:rPr>
        <w:t>налоговой, бюджетной и долговой политики муниципального образования городского округа города Пыть-Яха на 2018-2020 годы</w:t>
      </w:r>
      <w:r w:rsidRPr="007D146A">
        <w:rPr>
          <w:rFonts w:ascii="Times New Roman" w:hAnsi="Times New Roman" w:cs="Times New Roman"/>
          <w:sz w:val="28"/>
          <w:szCs w:val="24"/>
        </w:rPr>
        <w:t xml:space="preserve">, одобрены распоряжением администрации города от </w:t>
      </w:r>
      <w:r>
        <w:rPr>
          <w:rFonts w:ascii="Times New Roman" w:hAnsi="Times New Roman" w:cs="Times New Roman"/>
          <w:sz w:val="28"/>
          <w:szCs w:val="24"/>
        </w:rPr>
        <w:t>16.10.2017 № 1789-ра</w:t>
      </w:r>
      <w:r w:rsidRPr="007D146A">
        <w:rPr>
          <w:rFonts w:ascii="Times New Roman" w:hAnsi="Times New Roman" w:cs="Times New Roman"/>
          <w:sz w:val="28"/>
          <w:szCs w:val="24"/>
        </w:rPr>
        <w:t xml:space="preserve">. </w:t>
      </w:r>
    </w:p>
    <w:p w:rsidR="009C40C7" w:rsidRPr="001F5E83" w:rsidRDefault="009C40C7" w:rsidP="009C40C7">
      <w:pPr>
        <w:widowControl w:val="0"/>
        <w:autoSpaceDE w:val="0"/>
        <w:autoSpaceDN w:val="0"/>
        <w:adjustRightInd w:val="0"/>
        <w:spacing w:line="360" w:lineRule="auto"/>
        <w:ind w:firstLine="540"/>
        <w:jc w:val="both"/>
        <w:rPr>
          <w:bCs/>
          <w:sz w:val="28"/>
          <w:szCs w:val="28"/>
        </w:rPr>
      </w:pPr>
      <w:r w:rsidRPr="001F5E83">
        <w:rPr>
          <w:bCs/>
          <w:sz w:val="28"/>
          <w:szCs w:val="28"/>
        </w:rPr>
        <w:t xml:space="preserve">Обеспечение стабильности и сбалансированности бюджета, повышение эффективности муниципального управления, преемственность целей и задач, определенных в предыдущих бюджетных циклах, </w:t>
      </w:r>
      <w:r>
        <w:rPr>
          <w:bCs/>
          <w:sz w:val="28"/>
          <w:szCs w:val="28"/>
        </w:rPr>
        <w:t>определены</w:t>
      </w:r>
      <w:r w:rsidRPr="001F5E83">
        <w:rPr>
          <w:bCs/>
          <w:sz w:val="28"/>
          <w:szCs w:val="28"/>
        </w:rPr>
        <w:t xml:space="preserve"> основным целевым ориентиром, заложенным в основу формирования проекта бюджета города Пыть-Яха на 2018 год и на плановый период 2019 и 2020 годов.</w:t>
      </w:r>
    </w:p>
    <w:p w:rsidR="009C40C7" w:rsidRPr="001F5E83" w:rsidRDefault="009C40C7" w:rsidP="009C40C7">
      <w:pPr>
        <w:widowControl w:val="0"/>
        <w:autoSpaceDE w:val="0"/>
        <w:autoSpaceDN w:val="0"/>
        <w:adjustRightInd w:val="0"/>
        <w:spacing w:line="360" w:lineRule="auto"/>
        <w:ind w:firstLine="540"/>
        <w:jc w:val="both"/>
        <w:rPr>
          <w:bCs/>
          <w:sz w:val="28"/>
          <w:szCs w:val="28"/>
        </w:rPr>
      </w:pPr>
      <w:r w:rsidRPr="001F5E83">
        <w:rPr>
          <w:bCs/>
          <w:sz w:val="28"/>
          <w:szCs w:val="28"/>
        </w:rPr>
        <w:t xml:space="preserve">Для достижения поставленных целей определены основные задачи налоговой </w:t>
      </w:r>
      <w:r w:rsidRPr="001F5E83">
        <w:rPr>
          <w:bCs/>
          <w:sz w:val="28"/>
          <w:szCs w:val="28"/>
        </w:rPr>
        <w:lastRenderedPageBreak/>
        <w:t>политики городского округа на среднесрочную перспективу:</w:t>
      </w:r>
    </w:p>
    <w:p w:rsidR="009C40C7" w:rsidRPr="001F5E83" w:rsidRDefault="009C40C7" w:rsidP="009C40C7">
      <w:pPr>
        <w:widowControl w:val="0"/>
        <w:autoSpaceDE w:val="0"/>
        <w:autoSpaceDN w:val="0"/>
        <w:adjustRightInd w:val="0"/>
        <w:spacing w:line="360" w:lineRule="auto"/>
        <w:ind w:firstLine="540"/>
        <w:jc w:val="both"/>
        <w:rPr>
          <w:bCs/>
          <w:sz w:val="28"/>
          <w:szCs w:val="28"/>
        </w:rPr>
      </w:pPr>
      <w:r w:rsidRPr="001F5E83">
        <w:rPr>
          <w:bCs/>
          <w:sz w:val="28"/>
          <w:szCs w:val="28"/>
        </w:rPr>
        <w:t xml:space="preserve">- повышение эффективности льготного налогообложения на территории города; </w:t>
      </w:r>
    </w:p>
    <w:p w:rsidR="009C40C7" w:rsidRPr="001F5E83" w:rsidRDefault="009C40C7" w:rsidP="009C40C7">
      <w:pPr>
        <w:widowControl w:val="0"/>
        <w:autoSpaceDE w:val="0"/>
        <w:autoSpaceDN w:val="0"/>
        <w:adjustRightInd w:val="0"/>
        <w:spacing w:line="360" w:lineRule="auto"/>
        <w:ind w:firstLine="540"/>
        <w:jc w:val="both"/>
        <w:rPr>
          <w:bCs/>
          <w:sz w:val="28"/>
          <w:szCs w:val="28"/>
        </w:rPr>
      </w:pPr>
      <w:r w:rsidRPr="001F5E83">
        <w:rPr>
          <w:bCs/>
          <w:sz w:val="28"/>
          <w:szCs w:val="28"/>
        </w:rPr>
        <w:t>- совершенствование налогового администрирования;</w:t>
      </w:r>
    </w:p>
    <w:p w:rsidR="009C40C7" w:rsidRPr="001F5E83" w:rsidRDefault="009C40C7" w:rsidP="009C40C7">
      <w:pPr>
        <w:widowControl w:val="0"/>
        <w:autoSpaceDE w:val="0"/>
        <w:autoSpaceDN w:val="0"/>
        <w:adjustRightInd w:val="0"/>
        <w:spacing w:line="360" w:lineRule="auto"/>
        <w:ind w:firstLine="540"/>
        <w:jc w:val="both"/>
        <w:rPr>
          <w:bCs/>
          <w:sz w:val="28"/>
          <w:szCs w:val="28"/>
        </w:rPr>
      </w:pPr>
      <w:r w:rsidRPr="001F5E83">
        <w:rPr>
          <w:bCs/>
          <w:sz w:val="28"/>
          <w:szCs w:val="28"/>
        </w:rPr>
        <w:t>- проведение оценки эффективности налоговых льгот;</w:t>
      </w:r>
    </w:p>
    <w:p w:rsidR="009C40C7" w:rsidRPr="001F5E83" w:rsidRDefault="009C40C7" w:rsidP="009C40C7">
      <w:pPr>
        <w:widowControl w:val="0"/>
        <w:autoSpaceDE w:val="0"/>
        <w:autoSpaceDN w:val="0"/>
        <w:adjustRightInd w:val="0"/>
        <w:spacing w:line="360" w:lineRule="auto"/>
        <w:ind w:firstLine="540"/>
        <w:jc w:val="both"/>
        <w:rPr>
          <w:bCs/>
          <w:sz w:val="28"/>
          <w:szCs w:val="28"/>
        </w:rPr>
      </w:pPr>
      <w:r w:rsidRPr="001F5E83">
        <w:rPr>
          <w:bCs/>
          <w:sz w:val="28"/>
          <w:szCs w:val="28"/>
        </w:rPr>
        <w:t>- взаимодействие с крупнейшими налогоплательщиками городского округа, в целях наиболее достоверного планирования доходной части бюджета и предотвращения снижения платежей в бюджет.</w:t>
      </w:r>
    </w:p>
    <w:p w:rsidR="009C40C7" w:rsidRPr="001F5E83" w:rsidRDefault="009C40C7" w:rsidP="009C40C7">
      <w:pPr>
        <w:widowControl w:val="0"/>
        <w:autoSpaceDE w:val="0"/>
        <w:autoSpaceDN w:val="0"/>
        <w:adjustRightInd w:val="0"/>
        <w:spacing w:line="360" w:lineRule="auto"/>
        <w:ind w:firstLine="540"/>
        <w:jc w:val="both"/>
        <w:rPr>
          <w:bCs/>
          <w:sz w:val="28"/>
          <w:szCs w:val="28"/>
        </w:rPr>
      </w:pPr>
      <w:r w:rsidRPr="001F5E83">
        <w:rPr>
          <w:bCs/>
          <w:sz w:val="28"/>
          <w:szCs w:val="28"/>
        </w:rPr>
        <w:t xml:space="preserve">Целью бюджетной политики городского округа </w:t>
      </w:r>
      <w:r>
        <w:rPr>
          <w:bCs/>
          <w:sz w:val="28"/>
          <w:szCs w:val="28"/>
        </w:rPr>
        <w:t>определены</w:t>
      </w:r>
      <w:r w:rsidRPr="001F5E83">
        <w:rPr>
          <w:bCs/>
          <w:sz w:val="28"/>
          <w:szCs w:val="28"/>
        </w:rPr>
        <w:t xml:space="preserve"> обеспечение долгосрочной сбалансированности и устойчивости бюджетной системы городского округа и безусловное исполнение принятых обязательств, включая выполнение задач, поставленных в указах Президента Российской Федерации от 2012 года, наиболее эффективным способом.</w:t>
      </w:r>
    </w:p>
    <w:p w:rsidR="009C40C7" w:rsidRPr="008A2805" w:rsidRDefault="009C40C7" w:rsidP="009C40C7">
      <w:pPr>
        <w:widowControl w:val="0"/>
        <w:autoSpaceDE w:val="0"/>
        <w:autoSpaceDN w:val="0"/>
        <w:adjustRightInd w:val="0"/>
        <w:spacing w:line="360" w:lineRule="auto"/>
        <w:ind w:firstLine="540"/>
        <w:jc w:val="both"/>
        <w:rPr>
          <w:bCs/>
          <w:sz w:val="28"/>
          <w:szCs w:val="28"/>
        </w:rPr>
      </w:pPr>
      <w:r w:rsidRPr="008A2805">
        <w:rPr>
          <w:bCs/>
          <w:sz w:val="28"/>
          <w:szCs w:val="28"/>
        </w:rPr>
        <w:t>Для достижения указанной цели направлены усилия для решения следующих основных задач:</w:t>
      </w:r>
    </w:p>
    <w:p w:rsidR="009C40C7" w:rsidRPr="008A2805" w:rsidRDefault="009C40C7" w:rsidP="009C40C7">
      <w:pPr>
        <w:widowControl w:val="0"/>
        <w:autoSpaceDE w:val="0"/>
        <w:autoSpaceDN w:val="0"/>
        <w:adjustRightInd w:val="0"/>
        <w:spacing w:line="360" w:lineRule="auto"/>
        <w:ind w:firstLine="540"/>
        <w:jc w:val="both"/>
        <w:rPr>
          <w:bCs/>
          <w:sz w:val="28"/>
          <w:szCs w:val="28"/>
        </w:rPr>
      </w:pPr>
      <w:r w:rsidRPr="008A2805">
        <w:rPr>
          <w:bCs/>
          <w:sz w:val="28"/>
          <w:szCs w:val="28"/>
        </w:rPr>
        <w:t>- обеспечение устойчивой сбалансированной бюджетной системы городского округа;</w:t>
      </w:r>
    </w:p>
    <w:p w:rsidR="009C40C7" w:rsidRPr="008A2805" w:rsidRDefault="009C40C7" w:rsidP="009C40C7">
      <w:pPr>
        <w:widowControl w:val="0"/>
        <w:autoSpaceDE w:val="0"/>
        <w:autoSpaceDN w:val="0"/>
        <w:adjustRightInd w:val="0"/>
        <w:spacing w:line="360" w:lineRule="auto"/>
        <w:ind w:firstLine="540"/>
        <w:jc w:val="both"/>
        <w:rPr>
          <w:bCs/>
          <w:sz w:val="28"/>
          <w:szCs w:val="28"/>
        </w:rPr>
      </w:pPr>
      <w:r w:rsidRPr="008A2805">
        <w:rPr>
          <w:bCs/>
          <w:sz w:val="28"/>
          <w:szCs w:val="28"/>
        </w:rPr>
        <w:t>- сдерживание роста бюджетных расходов путем исключения низкоэффективных и не дающих эффекта в будущем затрат, установление приоритетов бюджета городского округа;</w:t>
      </w:r>
    </w:p>
    <w:p w:rsidR="009C40C7" w:rsidRPr="008A2805" w:rsidRDefault="009C40C7" w:rsidP="009C40C7">
      <w:pPr>
        <w:widowControl w:val="0"/>
        <w:autoSpaceDE w:val="0"/>
        <w:autoSpaceDN w:val="0"/>
        <w:adjustRightInd w:val="0"/>
        <w:spacing w:line="360" w:lineRule="auto"/>
        <w:ind w:firstLine="540"/>
        <w:jc w:val="both"/>
        <w:rPr>
          <w:bCs/>
          <w:sz w:val="28"/>
          <w:szCs w:val="28"/>
        </w:rPr>
      </w:pPr>
      <w:r w:rsidRPr="008A2805">
        <w:rPr>
          <w:bCs/>
          <w:sz w:val="28"/>
          <w:szCs w:val="28"/>
        </w:rPr>
        <w:t>- повышение эффективности мер, направленных на увеличение и укрепление доходной базы бюджета городского округа;</w:t>
      </w:r>
    </w:p>
    <w:p w:rsidR="009C40C7" w:rsidRPr="008A2805" w:rsidRDefault="009C40C7" w:rsidP="009C40C7">
      <w:pPr>
        <w:widowControl w:val="0"/>
        <w:autoSpaceDE w:val="0"/>
        <w:autoSpaceDN w:val="0"/>
        <w:adjustRightInd w:val="0"/>
        <w:spacing w:line="360" w:lineRule="auto"/>
        <w:ind w:firstLine="540"/>
        <w:jc w:val="both"/>
        <w:rPr>
          <w:bCs/>
          <w:sz w:val="28"/>
          <w:szCs w:val="28"/>
        </w:rPr>
      </w:pPr>
      <w:r w:rsidRPr="008A2805">
        <w:rPr>
          <w:bCs/>
          <w:sz w:val="28"/>
          <w:szCs w:val="28"/>
        </w:rPr>
        <w:t>- повышение качества муниципальных программ городского округа и расширение их использования в бюджетном планировании;</w:t>
      </w:r>
    </w:p>
    <w:p w:rsidR="009C40C7" w:rsidRPr="008A2805" w:rsidRDefault="009C40C7" w:rsidP="009C40C7">
      <w:pPr>
        <w:widowControl w:val="0"/>
        <w:autoSpaceDE w:val="0"/>
        <w:autoSpaceDN w:val="0"/>
        <w:adjustRightInd w:val="0"/>
        <w:spacing w:line="360" w:lineRule="auto"/>
        <w:ind w:firstLine="540"/>
        <w:jc w:val="both"/>
        <w:rPr>
          <w:bCs/>
          <w:sz w:val="28"/>
          <w:szCs w:val="28"/>
        </w:rPr>
      </w:pPr>
      <w:r w:rsidRPr="008A2805">
        <w:rPr>
          <w:bCs/>
          <w:sz w:val="28"/>
          <w:szCs w:val="28"/>
        </w:rPr>
        <w:t xml:space="preserve">- повышение эффективности оказания муниципальных услуг населению городского округа; </w:t>
      </w:r>
    </w:p>
    <w:p w:rsidR="009C40C7" w:rsidRPr="008A2805" w:rsidRDefault="009C40C7" w:rsidP="009C40C7">
      <w:pPr>
        <w:widowControl w:val="0"/>
        <w:autoSpaceDE w:val="0"/>
        <w:autoSpaceDN w:val="0"/>
        <w:adjustRightInd w:val="0"/>
        <w:spacing w:line="360" w:lineRule="auto"/>
        <w:ind w:firstLine="540"/>
        <w:jc w:val="both"/>
        <w:rPr>
          <w:bCs/>
          <w:sz w:val="28"/>
          <w:szCs w:val="28"/>
        </w:rPr>
      </w:pPr>
      <w:r w:rsidRPr="008A2805">
        <w:rPr>
          <w:bCs/>
          <w:sz w:val="28"/>
          <w:szCs w:val="28"/>
        </w:rPr>
        <w:t>- повышение прозрачности бюджета и бюджетного процесса;</w:t>
      </w:r>
    </w:p>
    <w:p w:rsidR="009C40C7" w:rsidRDefault="009C40C7" w:rsidP="009C40C7">
      <w:pPr>
        <w:widowControl w:val="0"/>
        <w:autoSpaceDE w:val="0"/>
        <w:autoSpaceDN w:val="0"/>
        <w:adjustRightInd w:val="0"/>
        <w:spacing w:line="360" w:lineRule="auto"/>
        <w:ind w:firstLine="540"/>
        <w:jc w:val="both"/>
        <w:rPr>
          <w:bCs/>
          <w:sz w:val="28"/>
          <w:szCs w:val="28"/>
        </w:rPr>
      </w:pPr>
      <w:r w:rsidRPr="008A2805">
        <w:rPr>
          <w:bCs/>
          <w:sz w:val="28"/>
          <w:szCs w:val="28"/>
        </w:rPr>
        <w:t>- совершенствование нормативно-правового регулирования бюджетного процесса.</w:t>
      </w:r>
    </w:p>
    <w:p w:rsidR="009C40C7" w:rsidRPr="0037439B" w:rsidRDefault="009C40C7" w:rsidP="009C40C7">
      <w:pPr>
        <w:widowControl w:val="0"/>
        <w:autoSpaceDE w:val="0"/>
        <w:autoSpaceDN w:val="0"/>
        <w:adjustRightInd w:val="0"/>
        <w:spacing w:line="360" w:lineRule="auto"/>
        <w:ind w:firstLine="540"/>
        <w:jc w:val="right"/>
        <w:rPr>
          <w:sz w:val="28"/>
          <w:szCs w:val="28"/>
        </w:rPr>
      </w:pPr>
      <w:r w:rsidRPr="0037439B">
        <w:rPr>
          <w:sz w:val="28"/>
          <w:szCs w:val="28"/>
        </w:rPr>
        <w:t>таблица 1</w:t>
      </w:r>
    </w:p>
    <w:p w:rsidR="009C40C7" w:rsidRPr="00CB653F" w:rsidRDefault="009C40C7" w:rsidP="009C40C7">
      <w:pPr>
        <w:widowControl w:val="0"/>
        <w:autoSpaceDE w:val="0"/>
        <w:autoSpaceDN w:val="0"/>
        <w:adjustRightInd w:val="0"/>
        <w:spacing w:line="360" w:lineRule="auto"/>
        <w:jc w:val="center"/>
        <w:rPr>
          <w:bCs/>
          <w:sz w:val="28"/>
          <w:szCs w:val="28"/>
        </w:rPr>
      </w:pPr>
      <w:r w:rsidRPr="00CB653F">
        <w:rPr>
          <w:sz w:val="28"/>
          <w:szCs w:val="28"/>
        </w:rPr>
        <w:lastRenderedPageBreak/>
        <w:t>Сведения о результатах бюджетной политики достигнутых в 2018 году</w:t>
      </w:r>
    </w:p>
    <w:tbl>
      <w:tblPr>
        <w:tblStyle w:val="-34"/>
        <w:tblW w:w="5000" w:type="pct"/>
        <w:tblLook w:val="0420" w:firstRow="1" w:lastRow="0" w:firstColumn="0" w:lastColumn="0" w:noHBand="0" w:noVBand="1"/>
      </w:tblPr>
      <w:tblGrid>
        <w:gridCol w:w="622"/>
        <w:gridCol w:w="2488"/>
        <w:gridCol w:w="6801"/>
      </w:tblGrid>
      <w:tr w:rsidR="009C40C7" w:rsidRPr="00B60082" w:rsidTr="009C40C7">
        <w:trPr>
          <w:cnfStyle w:val="100000000000" w:firstRow="1" w:lastRow="0" w:firstColumn="0" w:lastColumn="0" w:oddVBand="0" w:evenVBand="0" w:oddHBand="0" w:evenHBand="0" w:firstRowFirstColumn="0" w:firstRowLastColumn="0" w:lastRowFirstColumn="0" w:lastRowLastColumn="0"/>
          <w:cantSplit/>
          <w:trHeight w:val="20"/>
          <w:tblHeader/>
        </w:trPr>
        <w:tc>
          <w:tcPr>
            <w:tcW w:w="314" w:type="pct"/>
            <w:hideMark/>
          </w:tcPr>
          <w:p w:rsidR="009C40C7" w:rsidRPr="00B60082" w:rsidRDefault="009C40C7" w:rsidP="009C40C7">
            <w:pPr>
              <w:rPr>
                <w:sz w:val="18"/>
                <w:szCs w:val="18"/>
              </w:rPr>
            </w:pPr>
            <w:r w:rsidRPr="00B60082">
              <w:rPr>
                <w:sz w:val="18"/>
                <w:szCs w:val="18"/>
              </w:rPr>
              <w:t>№ п/п</w:t>
            </w:r>
          </w:p>
        </w:tc>
        <w:tc>
          <w:tcPr>
            <w:tcW w:w="1255" w:type="pct"/>
            <w:hideMark/>
          </w:tcPr>
          <w:p w:rsidR="009C40C7" w:rsidRPr="00B60082" w:rsidRDefault="009C40C7" w:rsidP="009C40C7">
            <w:pPr>
              <w:rPr>
                <w:sz w:val="18"/>
                <w:szCs w:val="18"/>
              </w:rPr>
            </w:pPr>
            <w:r w:rsidRPr="00B60082">
              <w:rPr>
                <w:sz w:val="18"/>
                <w:szCs w:val="18"/>
              </w:rPr>
              <w:t>Задачи бюджетной политики на 201</w:t>
            </w:r>
            <w:r>
              <w:rPr>
                <w:sz w:val="18"/>
                <w:szCs w:val="18"/>
              </w:rPr>
              <w:t>7</w:t>
            </w:r>
            <w:r w:rsidRPr="00B60082">
              <w:rPr>
                <w:sz w:val="18"/>
                <w:szCs w:val="18"/>
              </w:rPr>
              <w:t xml:space="preserve"> год</w:t>
            </w:r>
          </w:p>
        </w:tc>
        <w:tc>
          <w:tcPr>
            <w:tcW w:w="3431" w:type="pct"/>
            <w:hideMark/>
          </w:tcPr>
          <w:p w:rsidR="009C40C7" w:rsidRPr="00B60082" w:rsidRDefault="009C40C7" w:rsidP="009C40C7">
            <w:pPr>
              <w:rPr>
                <w:sz w:val="18"/>
                <w:szCs w:val="18"/>
              </w:rPr>
            </w:pPr>
            <w:r w:rsidRPr="00B60082">
              <w:rPr>
                <w:sz w:val="18"/>
                <w:szCs w:val="18"/>
              </w:rPr>
              <w:t>Результаты бюджетной политики за 201</w:t>
            </w:r>
            <w:r>
              <w:rPr>
                <w:sz w:val="18"/>
                <w:szCs w:val="18"/>
              </w:rPr>
              <w:t xml:space="preserve">8 </w:t>
            </w:r>
            <w:r w:rsidRPr="00B60082">
              <w:rPr>
                <w:sz w:val="18"/>
                <w:szCs w:val="18"/>
              </w:rPr>
              <w:t>год</w:t>
            </w:r>
          </w:p>
        </w:tc>
      </w:tr>
      <w:tr w:rsidR="009C40C7" w:rsidRPr="00B60082" w:rsidTr="009C40C7">
        <w:trPr>
          <w:cnfStyle w:val="000000100000" w:firstRow="0" w:lastRow="0" w:firstColumn="0" w:lastColumn="0" w:oddVBand="0" w:evenVBand="0" w:oddHBand="1" w:evenHBand="0" w:firstRowFirstColumn="0" w:firstRowLastColumn="0" w:lastRowFirstColumn="0" w:lastRowLastColumn="0"/>
          <w:cantSplit/>
          <w:trHeight w:val="20"/>
        </w:trPr>
        <w:tc>
          <w:tcPr>
            <w:tcW w:w="314" w:type="pct"/>
            <w:hideMark/>
          </w:tcPr>
          <w:p w:rsidR="009C40C7" w:rsidRPr="00B60082" w:rsidRDefault="009C40C7" w:rsidP="009C40C7">
            <w:pPr>
              <w:rPr>
                <w:sz w:val="18"/>
                <w:szCs w:val="18"/>
              </w:rPr>
            </w:pPr>
            <w:r w:rsidRPr="00B60082">
              <w:rPr>
                <w:sz w:val="18"/>
                <w:szCs w:val="18"/>
              </w:rPr>
              <w:t>1.</w:t>
            </w:r>
          </w:p>
        </w:tc>
        <w:tc>
          <w:tcPr>
            <w:tcW w:w="1255" w:type="pct"/>
            <w:hideMark/>
          </w:tcPr>
          <w:p w:rsidR="009C40C7" w:rsidRPr="00B60082" w:rsidRDefault="009C40C7" w:rsidP="009C40C7">
            <w:pPr>
              <w:rPr>
                <w:sz w:val="18"/>
                <w:szCs w:val="18"/>
              </w:rPr>
            </w:pPr>
            <w:r w:rsidRPr="00B60082">
              <w:rPr>
                <w:sz w:val="18"/>
                <w:szCs w:val="18"/>
              </w:rPr>
              <w:t>Обеспечение устойчивой сбалансированной бюджетной системы городского округа</w:t>
            </w:r>
          </w:p>
        </w:tc>
        <w:tc>
          <w:tcPr>
            <w:tcW w:w="3431" w:type="pct"/>
            <w:hideMark/>
          </w:tcPr>
          <w:p w:rsidR="009C40C7" w:rsidRPr="00B60082" w:rsidRDefault="009C40C7" w:rsidP="009C40C7">
            <w:pPr>
              <w:rPr>
                <w:sz w:val="18"/>
                <w:szCs w:val="18"/>
              </w:rPr>
            </w:pPr>
            <w:r w:rsidRPr="00B60082">
              <w:rPr>
                <w:sz w:val="18"/>
                <w:szCs w:val="18"/>
              </w:rPr>
              <w:t xml:space="preserve">Бюджет города Пыть-Яха исполнен с </w:t>
            </w:r>
            <w:r>
              <w:rPr>
                <w:sz w:val="18"/>
                <w:szCs w:val="18"/>
              </w:rPr>
              <w:t>профицитом</w:t>
            </w:r>
            <w:r w:rsidRPr="00B60082">
              <w:rPr>
                <w:sz w:val="18"/>
                <w:szCs w:val="18"/>
              </w:rPr>
              <w:t xml:space="preserve"> бюджета в сумме </w:t>
            </w:r>
            <w:r>
              <w:rPr>
                <w:sz w:val="18"/>
                <w:szCs w:val="18"/>
              </w:rPr>
              <w:t>1 378 786,5</w:t>
            </w:r>
            <w:r w:rsidRPr="00B60082">
              <w:rPr>
                <w:sz w:val="18"/>
                <w:szCs w:val="18"/>
              </w:rPr>
              <w:t xml:space="preserve"> тыс. рублей, при плановом дефиците </w:t>
            </w:r>
            <w:r>
              <w:rPr>
                <w:sz w:val="18"/>
                <w:szCs w:val="18"/>
              </w:rPr>
              <w:t>340 282,7</w:t>
            </w:r>
            <w:r w:rsidRPr="00B60082">
              <w:rPr>
                <w:sz w:val="18"/>
                <w:szCs w:val="18"/>
              </w:rPr>
              <w:t>тыс. рублей.</w:t>
            </w:r>
          </w:p>
        </w:tc>
      </w:tr>
      <w:tr w:rsidR="009C40C7" w:rsidRPr="00B60082" w:rsidTr="009C40C7">
        <w:trPr>
          <w:cantSplit/>
          <w:trHeight w:val="20"/>
        </w:trPr>
        <w:tc>
          <w:tcPr>
            <w:tcW w:w="314" w:type="pct"/>
            <w:hideMark/>
          </w:tcPr>
          <w:p w:rsidR="009C40C7" w:rsidRPr="00B60082" w:rsidRDefault="009C40C7" w:rsidP="009C40C7">
            <w:pPr>
              <w:rPr>
                <w:sz w:val="18"/>
                <w:szCs w:val="18"/>
              </w:rPr>
            </w:pPr>
            <w:r w:rsidRPr="00B60082">
              <w:rPr>
                <w:sz w:val="18"/>
                <w:szCs w:val="18"/>
              </w:rPr>
              <w:t>2.</w:t>
            </w:r>
          </w:p>
        </w:tc>
        <w:tc>
          <w:tcPr>
            <w:tcW w:w="1255" w:type="pct"/>
            <w:hideMark/>
          </w:tcPr>
          <w:p w:rsidR="009C40C7" w:rsidRPr="00B60082" w:rsidRDefault="009C40C7" w:rsidP="009C40C7">
            <w:pPr>
              <w:rPr>
                <w:sz w:val="18"/>
                <w:szCs w:val="18"/>
              </w:rPr>
            </w:pPr>
            <w:r w:rsidRPr="00B60082">
              <w:rPr>
                <w:sz w:val="18"/>
                <w:szCs w:val="18"/>
              </w:rPr>
              <w:t>Сдерживание роста бюджетных расходов путем исключения низкоэффективных и не дающих эффекта в будущем затрат, установление приоритетов бюджета городского округа</w:t>
            </w:r>
          </w:p>
        </w:tc>
        <w:tc>
          <w:tcPr>
            <w:tcW w:w="3431" w:type="pct"/>
            <w:hideMark/>
          </w:tcPr>
          <w:p w:rsidR="009C40C7" w:rsidRPr="00B60082" w:rsidRDefault="009C40C7" w:rsidP="009C40C7">
            <w:pPr>
              <w:rPr>
                <w:sz w:val="18"/>
                <w:szCs w:val="18"/>
              </w:rPr>
            </w:pPr>
            <w:r w:rsidRPr="00B60082">
              <w:rPr>
                <w:sz w:val="18"/>
                <w:szCs w:val="18"/>
              </w:rPr>
              <w:t>Запланированные мероприятия по оптимизации расходов бюджета муниципального образования исполнены и бюджетный эффект по состоянию на 01.01.201</w:t>
            </w:r>
            <w:r>
              <w:rPr>
                <w:sz w:val="18"/>
                <w:szCs w:val="18"/>
              </w:rPr>
              <w:t>9</w:t>
            </w:r>
            <w:r w:rsidRPr="00B60082">
              <w:rPr>
                <w:sz w:val="18"/>
                <w:szCs w:val="18"/>
              </w:rPr>
              <w:t xml:space="preserve"> года составил </w:t>
            </w:r>
            <w:r>
              <w:rPr>
                <w:sz w:val="18"/>
                <w:szCs w:val="18"/>
              </w:rPr>
              <w:t>77 746,6</w:t>
            </w:r>
            <w:r w:rsidRPr="00B60082">
              <w:rPr>
                <w:sz w:val="18"/>
                <w:szCs w:val="18"/>
              </w:rPr>
              <w:t xml:space="preserve"> тыс. рублей</w:t>
            </w:r>
            <w:r>
              <w:rPr>
                <w:sz w:val="18"/>
                <w:szCs w:val="18"/>
              </w:rPr>
              <w:t>.</w:t>
            </w:r>
          </w:p>
        </w:tc>
      </w:tr>
      <w:tr w:rsidR="009C40C7" w:rsidRPr="00B60082" w:rsidTr="009C40C7">
        <w:trPr>
          <w:cnfStyle w:val="000000100000" w:firstRow="0" w:lastRow="0" w:firstColumn="0" w:lastColumn="0" w:oddVBand="0" w:evenVBand="0" w:oddHBand="1" w:evenHBand="0" w:firstRowFirstColumn="0" w:firstRowLastColumn="0" w:lastRowFirstColumn="0" w:lastRowLastColumn="0"/>
          <w:cantSplit/>
          <w:trHeight w:val="20"/>
        </w:trPr>
        <w:tc>
          <w:tcPr>
            <w:tcW w:w="314" w:type="pct"/>
            <w:hideMark/>
          </w:tcPr>
          <w:p w:rsidR="009C40C7" w:rsidRPr="00B60082" w:rsidRDefault="009C40C7" w:rsidP="009C40C7">
            <w:pPr>
              <w:rPr>
                <w:sz w:val="18"/>
                <w:szCs w:val="18"/>
              </w:rPr>
            </w:pPr>
            <w:r w:rsidRPr="00B60082">
              <w:rPr>
                <w:sz w:val="18"/>
                <w:szCs w:val="18"/>
              </w:rPr>
              <w:t>3.</w:t>
            </w:r>
          </w:p>
        </w:tc>
        <w:tc>
          <w:tcPr>
            <w:tcW w:w="1255" w:type="pct"/>
            <w:hideMark/>
          </w:tcPr>
          <w:p w:rsidR="009C40C7" w:rsidRPr="00B60082" w:rsidRDefault="009C40C7" w:rsidP="009C40C7">
            <w:pPr>
              <w:rPr>
                <w:sz w:val="18"/>
                <w:szCs w:val="18"/>
              </w:rPr>
            </w:pPr>
            <w:r w:rsidRPr="00B60082">
              <w:rPr>
                <w:sz w:val="18"/>
                <w:szCs w:val="18"/>
              </w:rPr>
              <w:t>Повышение эффективности мер, направленных на увеличение и укрепление доходной базы бюджета городского округа</w:t>
            </w:r>
          </w:p>
        </w:tc>
        <w:tc>
          <w:tcPr>
            <w:tcW w:w="3431" w:type="pct"/>
            <w:hideMark/>
          </w:tcPr>
          <w:p w:rsidR="009C40C7" w:rsidRPr="00B60082" w:rsidRDefault="009C40C7" w:rsidP="009C40C7">
            <w:pPr>
              <w:rPr>
                <w:sz w:val="18"/>
                <w:szCs w:val="18"/>
              </w:rPr>
            </w:pPr>
            <w:r w:rsidRPr="00B60082">
              <w:rPr>
                <w:sz w:val="18"/>
                <w:szCs w:val="18"/>
              </w:rPr>
              <w:t>В результате принятых мер, направленных на увеличение доходной базы дополнительные поступления в бюджет,</w:t>
            </w:r>
            <w:r>
              <w:rPr>
                <w:sz w:val="18"/>
                <w:szCs w:val="18"/>
              </w:rPr>
              <w:t xml:space="preserve"> составили</w:t>
            </w:r>
            <w:r w:rsidRPr="00B60082">
              <w:rPr>
                <w:sz w:val="18"/>
                <w:szCs w:val="18"/>
              </w:rPr>
              <w:t xml:space="preserve"> </w:t>
            </w:r>
            <w:r>
              <w:rPr>
                <w:sz w:val="18"/>
                <w:szCs w:val="18"/>
              </w:rPr>
              <w:t>43 717,1</w:t>
            </w:r>
            <w:r w:rsidRPr="00B60082">
              <w:rPr>
                <w:sz w:val="18"/>
                <w:szCs w:val="18"/>
              </w:rPr>
              <w:t xml:space="preserve"> тыс. рублей.</w:t>
            </w:r>
          </w:p>
        </w:tc>
      </w:tr>
      <w:tr w:rsidR="009C40C7" w:rsidRPr="00B60082" w:rsidTr="009C40C7">
        <w:trPr>
          <w:cantSplit/>
          <w:trHeight w:val="20"/>
        </w:trPr>
        <w:tc>
          <w:tcPr>
            <w:tcW w:w="314" w:type="pct"/>
            <w:hideMark/>
          </w:tcPr>
          <w:p w:rsidR="009C40C7" w:rsidRPr="00B60082" w:rsidRDefault="009C40C7" w:rsidP="009C40C7">
            <w:pPr>
              <w:rPr>
                <w:sz w:val="18"/>
                <w:szCs w:val="18"/>
              </w:rPr>
            </w:pPr>
            <w:r w:rsidRPr="00B60082">
              <w:rPr>
                <w:sz w:val="18"/>
                <w:szCs w:val="18"/>
              </w:rPr>
              <w:t>4.</w:t>
            </w:r>
          </w:p>
        </w:tc>
        <w:tc>
          <w:tcPr>
            <w:tcW w:w="1255" w:type="pct"/>
            <w:hideMark/>
          </w:tcPr>
          <w:p w:rsidR="009C40C7" w:rsidRPr="00B60082" w:rsidRDefault="009C40C7" w:rsidP="009C40C7">
            <w:pPr>
              <w:rPr>
                <w:sz w:val="18"/>
                <w:szCs w:val="18"/>
              </w:rPr>
            </w:pPr>
            <w:r w:rsidRPr="00B60082">
              <w:rPr>
                <w:sz w:val="18"/>
                <w:szCs w:val="18"/>
              </w:rPr>
              <w:t>Повышение качества муниципальных программ городского округа и расширение их использования в бюджетном планировании</w:t>
            </w:r>
          </w:p>
        </w:tc>
        <w:tc>
          <w:tcPr>
            <w:tcW w:w="3431" w:type="pct"/>
            <w:hideMark/>
          </w:tcPr>
          <w:p w:rsidR="009C40C7" w:rsidRPr="00B60082" w:rsidRDefault="009C40C7" w:rsidP="009C40C7">
            <w:pPr>
              <w:rPr>
                <w:sz w:val="18"/>
                <w:szCs w:val="18"/>
              </w:rPr>
            </w:pPr>
            <w:r w:rsidRPr="00B60082">
              <w:rPr>
                <w:sz w:val="18"/>
                <w:szCs w:val="18"/>
              </w:rPr>
              <w:t>Программно-целевые расходы бюджета города Пыть-Яха за 201</w:t>
            </w:r>
            <w:r>
              <w:rPr>
                <w:sz w:val="18"/>
                <w:szCs w:val="18"/>
              </w:rPr>
              <w:t>8</w:t>
            </w:r>
            <w:r w:rsidRPr="00B60082">
              <w:rPr>
                <w:sz w:val="18"/>
                <w:szCs w:val="18"/>
              </w:rPr>
              <w:t xml:space="preserve"> год составили </w:t>
            </w:r>
            <w:r>
              <w:rPr>
                <w:sz w:val="18"/>
                <w:szCs w:val="18"/>
              </w:rPr>
              <w:t>99,0</w:t>
            </w:r>
            <w:r w:rsidRPr="00B60082">
              <w:rPr>
                <w:sz w:val="18"/>
                <w:szCs w:val="18"/>
              </w:rPr>
              <w:t>% от общих расходов бюджета города Пыть-Яха (Удельный вес программно-целевых расходов в 201</w:t>
            </w:r>
            <w:r>
              <w:rPr>
                <w:sz w:val="18"/>
                <w:szCs w:val="18"/>
              </w:rPr>
              <w:t>6</w:t>
            </w:r>
            <w:r w:rsidRPr="00B60082">
              <w:rPr>
                <w:sz w:val="18"/>
                <w:szCs w:val="18"/>
              </w:rPr>
              <w:t xml:space="preserve"> году сложился в размере </w:t>
            </w:r>
            <w:r>
              <w:rPr>
                <w:sz w:val="18"/>
                <w:szCs w:val="18"/>
              </w:rPr>
              <w:t>98,7</w:t>
            </w:r>
            <w:r w:rsidRPr="00B60082">
              <w:rPr>
                <w:sz w:val="18"/>
                <w:szCs w:val="18"/>
              </w:rPr>
              <w:t>% к общему объему исполненных расходов). По результатам проведенной оценки эффективности программ за 201</w:t>
            </w:r>
            <w:r>
              <w:rPr>
                <w:sz w:val="18"/>
                <w:szCs w:val="18"/>
              </w:rPr>
              <w:t>7</w:t>
            </w:r>
            <w:r w:rsidRPr="00B60082">
              <w:rPr>
                <w:sz w:val="18"/>
                <w:szCs w:val="18"/>
              </w:rPr>
              <w:t xml:space="preserve"> год, действующих на территории города Пыть-Ях, из 20 программ: 6 программ </w:t>
            </w:r>
            <w:proofErr w:type="spellStart"/>
            <w:r w:rsidRPr="00B60082">
              <w:rPr>
                <w:sz w:val="18"/>
                <w:szCs w:val="18"/>
              </w:rPr>
              <w:t>высокорезультативны</w:t>
            </w:r>
            <w:proofErr w:type="spellEnd"/>
            <w:r w:rsidRPr="00B60082">
              <w:rPr>
                <w:sz w:val="18"/>
                <w:szCs w:val="18"/>
              </w:rPr>
              <w:t>; 1</w:t>
            </w:r>
            <w:r>
              <w:rPr>
                <w:sz w:val="18"/>
                <w:szCs w:val="18"/>
              </w:rPr>
              <w:t>4</w:t>
            </w:r>
            <w:r w:rsidRPr="00B60082">
              <w:rPr>
                <w:sz w:val="18"/>
                <w:szCs w:val="18"/>
              </w:rPr>
              <w:t xml:space="preserve"> программ результативны; </w:t>
            </w:r>
            <w:proofErr w:type="spellStart"/>
            <w:r w:rsidRPr="00B60082">
              <w:rPr>
                <w:sz w:val="18"/>
                <w:szCs w:val="18"/>
              </w:rPr>
              <w:t>низкорезультативны</w:t>
            </w:r>
            <w:r>
              <w:rPr>
                <w:sz w:val="18"/>
                <w:szCs w:val="18"/>
              </w:rPr>
              <w:t>х</w:t>
            </w:r>
            <w:proofErr w:type="spellEnd"/>
            <w:r>
              <w:rPr>
                <w:sz w:val="18"/>
                <w:szCs w:val="18"/>
              </w:rPr>
              <w:t xml:space="preserve"> и неэффективных программ нет.</w:t>
            </w:r>
          </w:p>
        </w:tc>
      </w:tr>
      <w:tr w:rsidR="009C40C7" w:rsidRPr="00B60082" w:rsidTr="009C40C7">
        <w:trPr>
          <w:cnfStyle w:val="000000100000" w:firstRow="0" w:lastRow="0" w:firstColumn="0" w:lastColumn="0" w:oddVBand="0" w:evenVBand="0" w:oddHBand="1" w:evenHBand="0" w:firstRowFirstColumn="0" w:firstRowLastColumn="0" w:lastRowFirstColumn="0" w:lastRowLastColumn="0"/>
          <w:cantSplit/>
          <w:trHeight w:val="20"/>
        </w:trPr>
        <w:tc>
          <w:tcPr>
            <w:tcW w:w="314" w:type="pct"/>
            <w:hideMark/>
          </w:tcPr>
          <w:p w:rsidR="009C40C7" w:rsidRPr="00B60082" w:rsidRDefault="009C40C7" w:rsidP="009C40C7">
            <w:pPr>
              <w:rPr>
                <w:sz w:val="18"/>
                <w:szCs w:val="18"/>
              </w:rPr>
            </w:pPr>
            <w:r w:rsidRPr="00B60082">
              <w:rPr>
                <w:sz w:val="18"/>
                <w:szCs w:val="18"/>
              </w:rPr>
              <w:t>5.</w:t>
            </w:r>
          </w:p>
        </w:tc>
        <w:tc>
          <w:tcPr>
            <w:tcW w:w="1255" w:type="pct"/>
            <w:hideMark/>
          </w:tcPr>
          <w:p w:rsidR="009C40C7" w:rsidRPr="00B60082" w:rsidRDefault="009C40C7" w:rsidP="009C40C7">
            <w:pPr>
              <w:rPr>
                <w:sz w:val="18"/>
                <w:szCs w:val="18"/>
              </w:rPr>
            </w:pPr>
            <w:r w:rsidRPr="00B60082">
              <w:rPr>
                <w:sz w:val="18"/>
                <w:szCs w:val="18"/>
              </w:rPr>
              <w:t>Повышение эффективности оказания муниципальных услуг населению городского округа</w:t>
            </w:r>
          </w:p>
        </w:tc>
        <w:tc>
          <w:tcPr>
            <w:tcW w:w="3431" w:type="pct"/>
            <w:hideMark/>
          </w:tcPr>
          <w:p w:rsidR="009C40C7" w:rsidRPr="00B60082" w:rsidRDefault="009C40C7" w:rsidP="009C40C7">
            <w:pPr>
              <w:rPr>
                <w:sz w:val="18"/>
                <w:szCs w:val="18"/>
              </w:rPr>
            </w:pPr>
            <w:r>
              <w:rPr>
                <w:sz w:val="18"/>
                <w:szCs w:val="18"/>
              </w:rPr>
              <w:t>В</w:t>
            </w:r>
            <w:r w:rsidRPr="00B60082">
              <w:rPr>
                <w:sz w:val="18"/>
                <w:szCs w:val="18"/>
              </w:rPr>
              <w:t xml:space="preserve">се муниципальные услуги и работы предоставляются в соответствии </w:t>
            </w:r>
            <w:r>
              <w:rPr>
                <w:sz w:val="18"/>
                <w:szCs w:val="18"/>
              </w:rPr>
              <w:t>с о</w:t>
            </w:r>
            <w:r w:rsidRPr="00D80F22">
              <w:rPr>
                <w:sz w:val="18"/>
                <w:szCs w:val="18"/>
              </w:rPr>
              <w:t>бщероссийски</w:t>
            </w:r>
            <w:r>
              <w:rPr>
                <w:sz w:val="18"/>
                <w:szCs w:val="18"/>
              </w:rPr>
              <w:t>ми</w:t>
            </w:r>
            <w:r w:rsidRPr="00D80F22">
              <w:rPr>
                <w:sz w:val="18"/>
                <w:szCs w:val="18"/>
              </w:rPr>
              <w:t xml:space="preserve"> базовы</w:t>
            </w:r>
            <w:r>
              <w:rPr>
                <w:sz w:val="18"/>
                <w:szCs w:val="18"/>
              </w:rPr>
              <w:t>ми (отраслевыми) перечнями</w:t>
            </w:r>
            <w:r w:rsidRPr="00D80F22">
              <w:rPr>
                <w:sz w:val="18"/>
                <w:szCs w:val="18"/>
              </w:rPr>
              <w:t xml:space="preserve"> (классификатор</w:t>
            </w:r>
            <w:r>
              <w:rPr>
                <w:sz w:val="18"/>
                <w:szCs w:val="18"/>
              </w:rPr>
              <w:t>ами</w:t>
            </w:r>
            <w:r w:rsidRPr="00D80F22">
              <w:rPr>
                <w:sz w:val="18"/>
                <w:szCs w:val="18"/>
              </w:rPr>
              <w:t>) государственных и муниципальных услуг, оказываемых физическим лицам</w:t>
            </w:r>
            <w:r>
              <w:rPr>
                <w:sz w:val="18"/>
                <w:szCs w:val="18"/>
              </w:rPr>
              <w:t>, и региональным</w:t>
            </w:r>
            <w:r w:rsidRPr="00D80F22">
              <w:rPr>
                <w:sz w:val="18"/>
                <w:szCs w:val="18"/>
              </w:rPr>
              <w:t xml:space="preserve"> перечн</w:t>
            </w:r>
            <w:r>
              <w:rPr>
                <w:sz w:val="18"/>
                <w:szCs w:val="18"/>
              </w:rPr>
              <w:t>ем</w:t>
            </w:r>
            <w:r w:rsidRPr="00D80F22">
              <w:rPr>
                <w:sz w:val="18"/>
                <w:szCs w:val="18"/>
              </w:rPr>
              <w:t xml:space="preserve"> (классификатор</w:t>
            </w:r>
            <w:r>
              <w:rPr>
                <w:sz w:val="18"/>
                <w:szCs w:val="18"/>
              </w:rPr>
              <w:t>ом</w:t>
            </w:r>
            <w:r w:rsidRPr="00D80F22">
              <w:rPr>
                <w:sz w:val="18"/>
                <w:szCs w:val="18"/>
              </w:rPr>
              <w:t>) государственных (муниципальных) услуг и работ</w:t>
            </w:r>
          </w:p>
        </w:tc>
      </w:tr>
      <w:tr w:rsidR="009C40C7" w:rsidRPr="00B60082" w:rsidTr="009C40C7">
        <w:trPr>
          <w:cantSplit/>
          <w:trHeight w:val="20"/>
        </w:trPr>
        <w:tc>
          <w:tcPr>
            <w:tcW w:w="314" w:type="pct"/>
            <w:hideMark/>
          </w:tcPr>
          <w:p w:rsidR="009C40C7" w:rsidRPr="00B60082" w:rsidRDefault="009C40C7" w:rsidP="009C40C7">
            <w:pPr>
              <w:rPr>
                <w:sz w:val="18"/>
                <w:szCs w:val="18"/>
              </w:rPr>
            </w:pPr>
            <w:r w:rsidRPr="00B60082">
              <w:rPr>
                <w:sz w:val="18"/>
                <w:szCs w:val="18"/>
              </w:rPr>
              <w:t>6.</w:t>
            </w:r>
          </w:p>
        </w:tc>
        <w:tc>
          <w:tcPr>
            <w:tcW w:w="1255" w:type="pct"/>
            <w:hideMark/>
          </w:tcPr>
          <w:p w:rsidR="009C40C7" w:rsidRPr="00B60082" w:rsidRDefault="009C40C7" w:rsidP="009C40C7">
            <w:pPr>
              <w:rPr>
                <w:sz w:val="18"/>
                <w:szCs w:val="18"/>
              </w:rPr>
            </w:pPr>
            <w:r w:rsidRPr="00B60082">
              <w:rPr>
                <w:sz w:val="18"/>
                <w:szCs w:val="18"/>
              </w:rPr>
              <w:t>Повышение прозрачности бюджета и бюджетного процесса</w:t>
            </w:r>
          </w:p>
        </w:tc>
        <w:tc>
          <w:tcPr>
            <w:tcW w:w="3431" w:type="pct"/>
            <w:hideMark/>
          </w:tcPr>
          <w:p w:rsidR="009C40C7" w:rsidRPr="00B60082" w:rsidRDefault="009C40C7" w:rsidP="009C40C7">
            <w:pPr>
              <w:rPr>
                <w:sz w:val="18"/>
                <w:szCs w:val="18"/>
              </w:rPr>
            </w:pPr>
            <w:r w:rsidRPr="00B60082">
              <w:rPr>
                <w:sz w:val="18"/>
                <w:szCs w:val="18"/>
              </w:rPr>
              <w:t xml:space="preserve">На официальном сайте администрации города Пыть-Яха в разделе </w:t>
            </w:r>
            <w:r>
              <w:rPr>
                <w:sz w:val="18"/>
                <w:szCs w:val="18"/>
              </w:rPr>
              <w:t>Открытый бюджет</w:t>
            </w:r>
            <w:r w:rsidRPr="00B60082">
              <w:rPr>
                <w:sz w:val="18"/>
                <w:szCs w:val="18"/>
              </w:rPr>
              <w:t>/Бюджет для граждан/ обеспечивается информирование граждан (заинтересованных пользователей) о местном бюджете в доступной форме</w:t>
            </w:r>
            <w:r>
              <w:rPr>
                <w:sz w:val="18"/>
                <w:szCs w:val="18"/>
              </w:rPr>
              <w:t>, также</w:t>
            </w:r>
            <w:r w:rsidRPr="00B60082">
              <w:rPr>
                <w:sz w:val="18"/>
                <w:szCs w:val="18"/>
              </w:rPr>
              <w:t xml:space="preserve"> размещаются материалы и информация для ознакомления граждан (заинтересованных пользователей) с бюджетными данными по соответствующим этапам бюджетного процесса.</w:t>
            </w:r>
          </w:p>
        </w:tc>
      </w:tr>
      <w:tr w:rsidR="009C40C7" w:rsidRPr="00B60082" w:rsidTr="009C40C7">
        <w:trPr>
          <w:cnfStyle w:val="000000100000" w:firstRow="0" w:lastRow="0" w:firstColumn="0" w:lastColumn="0" w:oddVBand="0" w:evenVBand="0" w:oddHBand="1" w:evenHBand="0" w:firstRowFirstColumn="0" w:firstRowLastColumn="0" w:lastRowFirstColumn="0" w:lastRowLastColumn="0"/>
          <w:cantSplit/>
          <w:trHeight w:val="20"/>
        </w:trPr>
        <w:tc>
          <w:tcPr>
            <w:tcW w:w="314" w:type="pct"/>
            <w:hideMark/>
          </w:tcPr>
          <w:p w:rsidR="009C40C7" w:rsidRPr="00B60082" w:rsidRDefault="009C40C7" w:rsidP="009C40C7">
            <w:pPr>
              <w:rPr>
                <w:sz w:val="18"/>
                <w:szCs w:val="18"/>
              </w:rPr>
            </w:pPr>
            <w:r w:rsidRPr="00B60082">
              <w:rPr>
                <w:sz w:val="18"/>
                <w:szCs w:val="18"/>
              </w:rPr>
              <w:t>7.</w:t>
            </w:r>
          </w:p>
        </w:tc>
        <w:tc>
          <w:tcPr>
            <w:tcW w:w="1255" w:type="pct"/>
            <w:hideMark/>
          </w:tcPr>
          <w:p w:rsidR="009C40C7" w:rsidRPr="00B60082" w:rsidRDefault="009C40C7" w:rsidP="009C40C7">
            <w:pPr>
              <w:rPr>
                <w:sz w:val="18"/>
                <w:szCs w:val="18"/>
              </w:rPr>
            </w:pPr>
            <w:r w:rsidRPr="00B60082">
              <w:rPr>
                <w:sz w:val="18"/>
                <w:szCs w:val="18"/>
              </w:rPr>
              <w:t>Совершенствование нормативно-правового регулирования бюджетного процесса</w:t>
            </w:r>
          </w:p>
        </w:tc>
        <w:tc>
          <w:tcPr>
            <w:tcW w:w="3431" w:type="pct"/>
            <w:hideMark/>
          </w:tcPr>
          <w:p w:rsidR="009C40C7" w:rsidRPr="00B60082" w:rsidRDefault="009C40C7" w:rsidP="009C40C7">
            <w:pPr>
              <w:rPr>
                <w:sz w:val="18"/>
                <w:szCs w:val="18"/>
              </w:rPr>
            </w:pPr>
            <w:r w:rsidRPr="00B60082">
              <w:rPr>
                <w:sz w:val="18"/>
                <w:szCs w:val="18"/>
              </w:rPr>
              <w:t>Организация бюджетного процесса в городском округе осуществляется в соответствии с Бюджетным кодексом Российской Федерации, решением Думы города от 21.03.2014 № 258 «Об утверждении Положения о бюджетном процессе в муниципальном образовании городской округ город Пыть-Ях», которым определены основные этапы. В соответствии с основополагающими нормативными актами разрабатываются и актуализируются муниципальные правовые акты по соответствующим этапам организации и осуществления бюджетного процесса.</w:t>
            </w:r>
          </w:p>
        </w:tc>
      </w:tr>
    </w:tbl>
    <w:p w:rsidR="009C40C7" w:rsidRDefault="009C40C7" w:rsidP="009C40C7">
      <w:pPr>
        <w:pStyle w:val="1"/>
        <w:widowControl w:val="0"/>
        <w:autoSpaceDE w:val="0"/>
        <w:autoSpaceDN w:val="0"/>
        <w:adjustRightInd w:val="0"/>
        <w:spacing w:after="0" w:line="360" w:lineRule="auto"/>
        <w:ind w:left="0" w:firstLine="709"/>
        <w:jc w:val="both"/>
        <w:rPr>
          <w:rFonts w:ascii="Times New Roman" w:hAnsi="Times New Roman"/>
          <w:bCs/>
          <w:sz w:val="28"/>
          <w:szCs w:val="28"/>
        </w:rPr>
      </w:pPr>
    </w:p>
    <w:p w:rsidR="009C40C7" w:rsidRPr="008A2805" w:rsidRDefault="009C40C7" w:rsidP="009C40C7">
      <w:pPr>
        <w:pStyle w:val="1"/>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8A2805">
        <w:rPr>
          <w:rFonts w:ascii="Times New Roman" w:hAnsi="Times New Roman"/>
          <w:bCs/>
          <w:sz w:val="28"/>
          <w:szCs w:val="28"/>
        </w:rPr>
        <w:t>Долговая политика городского округа направлена на решение ключевой задачи по поддержанию долговой нагрузки на бюджет городского округа на низком уровне.</w:t>
      </w:r>
    </w:p>
    <w:p w:rsidR="009C40C7" w:rsidRDefault="009C40C7" w:rsidP="009C40C7">
      <w:pPr>
        <w:spacing w:line="360" w:lineRule="auto"/>
        <w:ind w:firstLine="540"/>
        <w:jc w:val="both"/>
        <w:rPr>
          <w:sz w:val="28"/>
        </w:rPr>
      </w:pPr>
      <w:r w:rsidRPr="007D146A">
        <w:rPr>
          <w:sz w:val="28"/>
        </w:rPr>
        <w:t>На 201</w:t>
      </w:r>
      <w:r>
        <w:rPr>
          <w:sz w:val="28"/>
        </w:rPr>
        <w:t>8</w:t>
      </w:r>
      <w:r w:rsidRPr="007D146A">
        <w:rPr>
          <w:sz w:val="28"/>
        </w:rPr>
        <w:t xml:space="preserve"> год бюджет города утвержден решением Думы города Пыть-Яха от </w:t>
      </w:r>
      <w:r>
        <w:rPr>
          <w:sz w:val="28"/>
        </w:rPr>
        <w:t xml:space="preserve">21.12.2017 № 129, </w:t>
      </w:r>
      <w:r w:rsidRPr="007D146A">
        <w:rPr>
          <w:sz w:val="28"/>
        </w:rPr>
        <w:t xml:space="preserve">в течение года было внесено 5 изменений. </w:t>
      </w:r>
    </w:p>
    <w:p w:rsidR="009C40C7" w:rsidRDefault="009C40C7" w:rsidP="009C40C7">
      <w:pPr>
        <w:spacing w:line="360" w:lineRule="auto"/>
        <w:ind w:firstLine="540"/>
        <w:jc w:val="both"/>
        <w:rPr>
          <w:sz w:val="28"/>
        </w:rPr>
      </w:pPr>
      <w:r w:rsidRPr="00FF181E">
        <w:rPr>
          <w:sz w:val="28"/>
        </w:rPr>
        <w:t>Бюджет города на 201</w:t>
      </w:r>
      <w:r>
        <w:rPr>
          <w:sz w:val="28"/>
        </w:rPr>
        <w:t>9</w:t>
      </w:r>
      <w:r w:rsidRPr="00FF181E">
        <w:rPr>
          <w:sz w:val="28"/>
        </w:rPr>
        <w:t xml:space="preserve"> год и на плановый период 20</w:t>
      </w:r>
      <w:r>
        <w:rPr>
          <w:sz w:val="28"/>
        </w:rPr>
        <w:t>20</w:t>
      </w:r>
      <w:r w:rsidRPr="00FF181E">
        <w:rPr>
          <w:sz w:val="28"/>
        </w:rPr>
        <w:t xml:space="preserve"> и 202</w:t>
      </w:r>
      <w:r>
        <w:rPr>
          <w:sz w:val="28"/>
        </w:rPr>
        <w:t>1</w:t>
      </w:r>
      <w:r w:rsidRPr="00FF181E">
        <w:rPr>
          <w:sz w:val="28"/>
        </w:rPr>
        <w:t xml:space="preserve"> годов утвержден решением Думы города Пыть-Яха от </w:t>
      </w:r>
      <w:r>
        <w:rPr>
          <w:sz w:val="28"/>
        </w:rPr>
        <w:t>14</w:t>
      </w:r>
      <w:r w:rsidRPr="00FF181E">
        <w:rPr>
          <w:sz w:val="28"/>
        </w:rPr>
        <w:t>.12.201</w:t>
      </w:r>
      <w:r>
        <w:rPr>
          <w:sz w:val="28"/>
        </w:rPr>
        <w:t>8</w:t>
      </w:r>
      <w:r w:rsidRPr="00FF181E">
        <w:rPr>
          <w:sz w:val="28"/>
        </w:rPr>
        <w:t xml:space="preserve"> № </w:t>
      </w:r>
      <w:r>
        <w:rPr>
          <w:sz w:val="28"/>
        </w:rPr>
        <w:t>210.</w:t>
      </w:r>
    </w:p>
    <w:p w:rsidR="009C40C7" w:rsidRPr="007D146A" w:rsidRDefault="009C40C7" w:rsidP="009C40C7">
      <w:pPr>
        <w:spacing w:line="360" w:lineRule="auto"/>
        <w:ind w:firstLine="540"/>
        <w:jc w:val="both"/>
        <w:rPr>
          <w:sz w:val="28"/>
        </w:rPr>
      </w:pPr>
      <w:r w:rsidRPr="007D146A">
        <w:rPr>
          <w:sz w:val="28"/>
        </w:rPr>
        <w:lastRenderedPageBreak/>
        <w:t xml:space="preserve">Отчет об исполнении бюджета ежегодно утверждается решением Думы города Пыть-Яха </w:t>
      </w:r>
      <w:r>
        <w:rPr>
          <w:sz w:val="28"/>
        </w:rPr>
        <w:t>29.05.2018</w:t>
      </w:r>
      <w:r w:rsidRPr="007D146A">
        <w:rPr>
          <w:sz w:val="28"/>
        </w:rPr>
        <w:t xml:space="preserve"> решением Думы города № </w:t>
      </w:r>
      <w:r>
        <w:rPr>
          <w:sz w:val="28"/>
        </w:rPr>
        <w:t>166</w:t>
      </w:r>
      <w:r w:rsidRPr="007D146A">
        <w:rPr>
          <w:sz w:val="28"/>
        </w:rPr>
        <w:t xml:space="preserve"> утвержден отчет об исполнении бюджета за 201</w:t>
      </w:r>
      <w:r>
        <w:rPr>
          <w:sz w:val="28"/>
        </w:rPr>
        <w:t>7</w:t>
      </w:r>
      <w:r w:rsidRPr="007D146A">
        <w:rPr>
          <w:sz w:val="28"/>
        </w:rPr>
        <w:t xml:space="preserve"> год.</w:t>
      </w:r>
    </w:p>
    <w:p w:rsidR="009C40C7" w:rsidRPr="007D146A" w:rsidRDefault="009C40C7" w:rsidP="009C40C7">
      <w:pPr>
        <w:spacing w:line="360" w:lineRule="auto"/>
        <w:ind w:firstLine="540"/>
        <w:jc w:val="right"/>
        <w:rPr>
          <w:sz w:val="28"/>
        </w:rPr>
      </w:pPr>
      <w:r>
        <w:rPr>
          <w:sz w:val="28"/>
        </w:rPr>
        <w:t>Таблица 2</w:t>
      </w:r>
    </w:p>
    <w:p w:rsidR="009C40C7" w:rsidRDefault="009C40C7" w:rsidP="009C40C7">
      <w:pPr>
        <w:spacing w:line="360" w:lineRule="auto"/>
        <w:ind w:firstLine="540"/>
        <w:jc w:val="center"/>
        <w:rPr>
          <w:sz w:val="28"/>
        </w:rPr>
      </w:pPr>
      <w:r w:rsidRPr="007D146A">
        <w:rPr>
          <w:sz w:val="28"/>
        </w:rPr>
        <w:t>Динамика параметров бюджета города Пыть-Яха</w:t>
      </w:r>
    </w:p>
    <w:tbl>
      <w:tblPr>
        <w:tblW w:w="5000" w:type="pct"/>
        <w:tblLayout w:type="fixed"/>
        <w:tblCellMar>
          <w:left w:w="28" w:type="dxa"/>
          <w:right w:w="28" w:type="dxa"/>
        </w:tblCellMar>
        <w:tblLook w:val="04A0" w:firstRow="1" w:lastRow="0" w:firstColumn="1" w:lastColumn="0" w:noHBand="0" w:noVBand="1"/>
      </w:tblPr>
      <w:tblGrid>
        <w:gridCol w:w="3147"/>
        <w:gridCol w:w="847"/>
        <w:gridCol w:w="848"/>
        <w:gridCol w:w="848"/>
        <w:gridCol w:w="848"/>
        <w:gridCol w:w="805"/>
        <w:gridCol w:w="856"/>
        <w:gridCol w:w="858"/>
        <w:gridCol w:w="854"/>
      </w:tblGrid>
      <w:tr w:rsidR="009C40C7" w:rsidRPr="00F90846" w:rsidTr="009C40C7">
        <w:trPr>
          <w:cantSplit/>
          <w:trHeight w:val="315"/>
        </w:trPr>
        <w:tc>
          <w:tcPr>
            <w:tcW w:w="15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Наименование показателя</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исполнено за 2014 год</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исполнено за 2015 год</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исполнено за 2016 год</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исполнено за 2017 год</w:t>
            </w:r>
          </w:p>
        </w:tc>
        <w:tc>
          <w:tcPr>
            <w:tcW w:w="1270" w:type="pct"/>
            <w:gridSpan w:val="3"/>
            <w:tcBorders>
              <w:top w:val="single" w:sz="4" w:space="0" w:color="auto"/>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2018 год</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2019</w:t>
            </w:r>
          </w:p>
        </w:tc>
      </w:tr>
      <w:tr w:rsidR="009C40C7" w:rsidRPr="00F90846" w:rsidTr="009C40C7">
        <w:trPr>
          <w:trHeight w:val="1200"/>
        </w:trPr>
        <w:tc>
          <w:tcPr>
            <w:tcW w:w="1587" w:type="pct"/>
            <w:vMerge/>
            <w:tcBorders>
              <w:top w:val="single" w:sz="4" w:space="0" w:color="auto"/>
              <w:left w:val="single" w:sz="4" w:space="0" w:color="auto"/>
              <w:bottom w:val="single" w:sz="4" w:space="0" w:color="auto"/>
              <w:right w:val="single" w:sz="4" w:space="0" w:color="auto"/>
            </w:tcBorders>
            <w:vAlign w:val="center"/>
            <w:hideMark/>
          </w:tcPr>
          <w:p w:rsidR="009C40C7" w:rsidRPr="00F90846" w:rsidRDefault="009C40C7" w:rsidP="009C40C7">
            <w:pPr>
              <w:rPr>
                <w:color w:val="00000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9C40C7" w:rsidRPr="00F90846" w:rsidRDefault="009C40C7" w:rsidP="009C40C7">
            <w:pPr>
              <w:rPr>
                <w:color w:val="000000"/>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9C40C7" w:rsidRPr="00F90846" w:rsidRDefault="009C40C7" w:rsidP="009C40C7">
            <w:pPr>
              <w:rPr>
                <w:color w:val="000000"/>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9C40C7" w:rsidRPr="00F90846" w:rsidRDefault="009C40C7" w:rsidP="009C40C7">
            <w:pPr>
              <w:rPr>
                <w:color w:val="000000"/>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9C40C7" w:rsidRPr="00F90846" w:rsidRDefault="009C40C7" w:rsidP="009C40C7">
            <w:pPr>
              <w:rPr>
                <w:color w:val="000000"/>
              </w:rPr>
            </w:pPr>
          </w:p>
        </w:tc>
        <w:tc>
          <w:tcPr>
            <w:tcW w:w="406"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первоначально утвержденный план</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уточненный план</w:t>
            </w:r>
          </w:p>
        </w:tc>
        <w:tc>
          <w:tcPr>
            <w:tcW w:w="433"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исполнено</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план</w:t>
            </w:r>
          </w:p>
        </w:tc>
      </w:tr>
      <w:tr w:rsidR="009C40C7" w:rsidRPr="00F90846" w:rsidTr="009C40C7">
        <w:trPr>
          <w:cantSplit/>
          <w:trHeight w:val="600"/>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rPr>
                <w:color w:val="000000"/>
              </w:rPr>
            </w:pPr>
            <w:r w:rsidRPr="00F90846">
              <w:rPr>
                <w:color w:val="000000"/>
              </w:rPr>
              <w:t>Доходы бюджета муниципального образования, млн. руб.</w:t>
            </w:r>
          </w:p>
        </w:tc>
        <w:tc>
          <w:tcPr>
            <w:tcW w:w="427"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2 811,0</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3 532,9</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3 188,4</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3 248,7</w:t>
            </w:r>
          </w:p>
        </w:tc>
        <w:tc>
          <w:tcPr>
            <w:tcW w:w="406"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2 796,8</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5 322,1</w:t>
            </w:r>
          </w:p>
        </w:tc>
        <w:tc>
          <w:tcPr>
            <w:tcW w:w="433"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5 342,4</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3 062,4</w:t>
            </w:r>
          </w:p>
        </w:tc>
      </w:tr>
      <w:tr w:rsidR="009C40C7" w:rsidRPr="00F90846" w:rsidTr="009C40C7">
        <w:trPr>
          <w:cantSplit/>
          <w:trHeight w:val="900"/>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rPr>
                <w:color w:val="000000"/>
              </w:rPr>
            </w:pPr>
            <w:r w:rsidRPr="00F90846">
              <w:rPr>
                <w:color w:val="000000"/>
              </w:rPr>
              <w:t>Расходы бюджета муниципального образования, млн. руб.</w:t>
            </w:r>
            <w:r w:rsidRPr="00F90846">
              <w:rPr>
                <w:color w:val="000000"/>
              </w:rPr>
              <w:br/>
              <w:t>из них:</w:t>
            </w:r>
          </w:p>
        </w:tc>
        <w:tc>
          <w:tcPr>
            <w:tcW w:w="427"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3 334,3</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3 637,8</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3 209,1</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3 078,1</w:t>
            </w:r>
          </w:p>
        </w:tc>
        <w:tc>
          <w:tcPr>
            <w:tcW w:w="406"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2 887,5</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5 662,4</w:t>
            </w:r>
          </w:p>
        </w:tc>
        <w:tc>
          <w:tcPr>
            <w:tcW w:w="433"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3 963,6</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3 112,2</w:t>
            </w:r>
          </w:p>
        </w:tc>
      </w:tr>
      <w:tr w:rsidR="009C40C7" w:rsidRPr="00F90846" w:rsidTr="009C40C7">
        <w:trPr>
          <w:cantSplit/>
          <w:trHeight w:val="315"/>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rPr>
                <w:color w:val="000000"/>
              </w:rPr>
            </w:pPr>
            <w:r w:rsidRPr="00F90846">
              <w:rPr>
                <w:color w:val="000000"/>
              </w:rPr>
              <w:t>Расход на социальную сферу, млн. руб.</w:t>
            </w:r>
          </w:p>
        </w:tc>
        <w:tc>
          <w:tcPr>
            <w:tcW w:w="427"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1 686,7</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1 852,0</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1 949,3</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1 662,8</w:t>
            </w:r>
          </w:p>
        </w:tc>
        <w:tc>
          <w:tcPr>
            <w:tcW w:w="406"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1 950,8</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2 329,5</w:t>
            </w:r>
          </w:p>
        </w:tc>
        <w:tc>
          <w:tcPr>
            <w:tcW w:w="433"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1 952,1</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2 067,7</w:t>
            </w:r>
          </w:p>
        </w:tc>
      </w:tr>
      <w:tr w:rsidR="009C40C7" w:rsidRPr="00F90846" w:rsidTr="009C40C7">
        <w:trPr>
          <w:cantSplit/>
          <w:trHeight w:val="600"/>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rPr>
                <w:color w:val="000000"/>
              </w:rPr>
            </w:pPr>
            <w:r w:rsidRPr="00F90846">
              <w:rPr>
                <w:color w:val="000000"/>
              </w:rPr>
              <w:t>Доля расходов на социальную сферу в общей сумме расходов, в процентах</w:t>
            </w:r>
          </w:p>
        </w:tc>
        <w:tc>
          <w:tcPr>
            <w:tcW w:w="427"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50,6</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50,9</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60,7</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54,0</w:t>
            </w:r>
          </w:p>
        </w:tc>
        <w:tc>
          <w:tcPr>
            <w:tcW w:w="406"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67,6</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41,1</w:t>
            </w:r>
          </w:p>
        </w:tc>
        <w:tc>
          <w:tcPr>
            <w:tcW w:w="433"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49,3</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66,4</w:t>
            </w:r>
          </w:p>
        </w:tc>
      </w:tr>
      <w:tr w:rsidR="009C40C7" w:rsidRPr="00F90846" w:rsidTr="009C40C7">
        <w:trPr>
          <w:cantSplit/>
          <w:trHeight w:val="600"/>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rPr>
                <w:color w:val="000000"/>
              </w:rPr>
            </w:pPr>
            <w:r w:rsidRPr="00F90846">
              <w:rPr>
                <w:color w:val="000000"/>
              </w:rPr>
              <w:t>Расходы на поддержку отраслей экономики, млн. руб.</w:t>
            </w:r>
          </w:p>
        </w:tc>
        <w:tc>
          <w:tcPr>
            <w:tcW w:w="427"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282,2</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286,8</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302,3</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288,7</w:t>
            </w:r>
          </w:p>
        </w:tc>
        <w:tc>
          <w:tcPr>
            <w:tcW w:w="406"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261,0</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225,5</w:t>
            </w:r>
          </w:p>
        </w:tc>
        <w:tc>
          <w:tcPr>
            <w:tcW w:w="433"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216,5</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261,5</w:t>
            </w:r>
          </w:p>
        </w:tc>
      </w:tr>
      <w:tr w:rsidR="009C40C7" w:rsidRPr="00F90846" w:rsidTr="009C40C7">
        <w:trPr>
          <w:cantSplit/>
          <w:trHeight w:val="900"/>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rPr>
                <w:color w:val="000000"/>
              </w:rPr>
            </w:pPr>
            <w:r w:rsidRPr="00F90846">
              <w:rPr>
                <w:color w:val="000000"/>
              </w:rPr>
              <w:t>Доля расходов на поддержку отраслей экономики в общей сумме расходов, в процентах</w:t>
            </w:r>
          </w:p>
        </w:tc>
        <w:tc>
          <w:tcPr>
            <w:tcW w:w="427"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8,5</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7,9</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9,4</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9,4</w:t>
            </w:r>
          </w:p>
        </w:tc>
        <w:tc>
          <w:tcPr>
            <w:tcW w:w="406"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9,0</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4,0</w:t>
            </w:r>
          </w:p>
        </w:tc>
        <w:tc>
          <w:tcPr>
            <w:tcW w:w="433"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5,5</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8,4</w:t>
            </w:r>
          </w:p>
        </w:tc>
      </w:tr>
      <w:tr w:rsidR="009C40C7" w:rsidRPr="00F90846" w:rsidTr="009C40C7">
        <w:trPr>
          <w:cantSplit/>
          <w:trHeight w:val="315"/>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rPr>
                <w:color w:val="000000"/>
              </w:rPr>
            </w:pPr>
            <w:r w:rsidRPr="00F90846">
              <w:rPr>
                <w:color w:val="000000"/>
              </w:rPr>
              <w:t>Профицит (+) / дефицит (-) бюджета, млн. руб.</w:t>
            </w:r>
          </w:p>
        </w:tc>
        <w:tc>
          <w:tcPr>
            <w:tcW w:w="427"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-523,3</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-104,9</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-20,7</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170,6</w:t>
            </w:r>
          </w:p>
        </w:tc>
        <w:tc>
          <w:tcPr>
            <w:tcW w:w="406"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-90,7</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-340,3</w:t>
            </w:r>
          </w:p>
        </w:tc>
        <w:tc>
          <w:tcPr>
            <w:tcW w:w="433"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1 378,8</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-49,8</w:t>
            </w:r>
          </w:p>
        </w:tc>
      </w:tr>
      <w:tr w:rsidR="009C40C7" w:rsidRPr="00F90846" w:rsidTr="009C40C7">
        <w:trPr>
          <w:cantSplit/>
          <w:trHeight w:val="315"/>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rPr>
                <w:color w:val="000000"/>
              </w:rPr>
            </w:pPr>
            <w:r w:rsidRPr="00F90846">
              <w:rPr>
                <w:color w:val="000000"/>
              </w:rPr>
              <w:t>Резервный фонд, млн. руб.</w:t>
            </w:r>
          </w:p>
        </w:tc>
        <w:tc>
          <w:tcPr>
            <w:tcW w:w="427"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0,0</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0,0</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0,0</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0,0</w:t>
            </w:r>
          </w:p>
        </w:tc>
        <w:tc>
          <w:tcPr>
            <w:tcW w:w="406"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0,5</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0,0</w:t>
            </w:r>
          </w:p>
        </w:tc>
        <w:tc>
          <w:tcPr>
            <w:tcW w:w="433"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0,0</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0,5</w:t>
            </w:r>
          </w:p>
        </w:tc>
      </w:tr>
      <w:tr w:rsidR="009C40C7" w:rsidRPr="00F90846" w:rsidTr="009C40C7">
        <w:trPr>
          <w:cantSplit/>
          <w:trHeight w:val="315"/>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9C40C7" w:rsidRPr="00F90846" w:rsidRDefault="009C40C7" w:rsidP="009C40C7">
            <w:pPr>
              <w:rPr>
                <w:color w:val="000000"/>
              </w:rPr>
            </w:pPr>
            <w:r w:rsidRPr="00F90846">
              <w:rPr>
                <w:color w:val="000000"/>
              </w:rPr>
              <w:t>Муниципальный долг, млн. руб.</w:t>
            </w:r>
          </w:p>
        </w:tc>
        <w:tc>
          <w:tcPr>
            <w:tcW w:w="427"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348,2</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220,6</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261,6</w:t>
            </w:r>
          </w:p>
        </w:tc>
        <w:tc>
          <w:tcPr>
            <w:tcW w:w="428"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168,3</w:t>
            </w:r>
          </w:p>
        </w:tc>
        <w:tc>
          <w:tcPr>
            <w:tcW w:w="406"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204,2</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505,6</w:t>
            </w:r>
          </w:p>
        </w:tc>
        <w:tc>
          <w:tcPr>
            <w:tcW w:w="433"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176,3</w:t>
            </w:r>
          </w:p>
        </w:tc>
        <w:tc>
          <w:tcPr>
            <w:tcW w:w="432" w:type="pct"/>
            <w:tcBorders>
              <w:top w:val="nil"/>
              <w:left w:val="nil"/>
              <w:bottom w:val="single" w:sz="4" w:space="0" w:color="auto"/>
              <w:right w:val="single" w:sz="4" w:space="0" w:color="auto"/>
            </w:tcBorders>
            <w:shd w:val="clear" w:color="auto" w:fill="auto"/>
            <w:vAlign w:val="center"/>
            <w:hideMark/>
          </w:tcPr>
          <w:p w:rsidR="009C40C7" w:rsidRPr="00F90846" w:rsidRDefault="009C40C7" w:rsidP="009C40C7">
            <w:pPr>
              <w:jc w:val="center"/>
              <w:rPr>
                <w:color w:val="000000"/>
              </w:rPr>
            </w:pPr>
            <w:r w:rsidRPr="00F90846">
              <w:rPr>
                <w:color w:val="000000"/>
              </w:rPr>
              <w:t>85,5</w:t>
            </w:r>
          </w:p>
        </w:tc>
      </w:tr>
    </w:tbl>
    <w:p w:rsidR="009C40C7" w:rsidRDefault="009C40C7" w:rsidP="009C40C7">
      <w:pPr>
        <w:spacing w:line="360" w:lineRule="auto"/>
        <w:ind w:firstLine="540"/>
        <w:jc w:val="center"/>
        <w:rPr>
          <w:sz w:val="28"/>
        </w:rPr>
      </w:pPr>
    </w:p>
    <w:p w:rsidR="009C40C7" w:rsidRDefault="009C40C7" w:rsidP="009C40C7">
      <w:pPr>
        <w:spacing w:line="360" w:lineRule="auto"/>
        <w:ind w:firstLine="540"/>
        <w:jc w:val="right"/>
        <w:rPr>
          <w:sz w:val="28"/>
        </w:rPr>
      </w:pPr>
    </w:p>
    <w:p w:rsidR="009C40C7" w:rsidRDefault="009C40C7" w:rsidP="009C40C7">
      <w:pPr>
        <w:spacing w:line="360" w:lineRule="auto"/>
        <w:ind w:firstLine="540"/>
        <w:jc w:val="right"/>
        <w:rPr>
          <w:sz w:val="28"/>
        </w:rPr>
      </w:pPr>
    </w:p>
    <w:p w:rsidR="009C40C7" w:rsidRPr="007D146A" w:rsidRDefault="009C40C7" w:rsidP="009C40C7">
      <w:pPr>
        <w:spacing w:line="360" w:lineRule="auto"/>
        <w:ind w:firstLine="540"/>
        <w:jc w:val="right"/>
        <w:rPr>
          <w:sz w:val="28"/>
        </w:rPr>
      </w:pPr>
      <w:r w:rsidRPr="007D146A">
        <w:rPr>
          <w:sz w:val="28"/>
        </w:rPr>
        <w:t>Рис. 1</w:t>
      </w:r>
    </w:p>
    <w:p w:rsidR="009C40C7" w:rsidRPr="007D146A" w:rsidRDefault="009C40C7" w:rsidP="009C40C7">
      <w:pPr>
        <w:spacing w:line="360" w:lineRule="auto"/>
        <w:jc w:val="both"/>
      </w:pPr>
      <w:r w:rsidRPr="007D146A">
        <w:rPr>
          <w:noProof/>
        </w:rPr>
        <w:lastRenderedPageBreak/>
        <w:drawing>
          <wp:inline distT="0" distB="0" distL="0" distR="0" wp14:anchorId="37A30C75" wp14:editId="0521AB2A">
            <wp:extent cx="5953125" cy="3676650"/>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C40C7" w:rsidRPr="007D146A" w:rsidRDefault="009C40C7" w:rsidP="009C40C7">
      <w:pPr>
        <w:spacing w:line="360" w:lineRule="auto"/>
        <w:ind w:firstLine="425"/>
        <w:jc w:val="both"/>
        <w:rPr>
          <w:sz w:val="28"/>
        </w:rPr>
      </w:pPr>
      <w:r w:rsidRPr="007D146A">
        <w:rPr>
          <w:sz w:val="28"/>
        </w:rPr>
        <w:t>Доходная часть бюджета муниципального образования за 201</w:t>
      </w:r>
      <w:r>
        <w:rPr>
          <w:sz w:val="28"/>
        </w:rPr>
        <w:t>8</w:t>
      </w:r>
      <w:r w:rsidRPr="007D146A">
        <w:rPr>
          <w:sz w:val="28"/>
        </w:rPr>
        <w:t xml:space="preserve"> год исполнена на сумму </w:t>
      </w:r>
      <w:r>
        <w:rPr>
          <w:sz w:val="28"/>
        </w:rPr>
        <w:t>5 342,4</w:t>
      </w:r>
      <w:r w:rsidRPr="007D146A">
        <w:rPr>
          <w:sz w:val="28"/>
        </w:rPr>
        <w:t xml:space="preserve"> млн. руб. (100,</w:t>
      </w:r>
      <w:r>
        <w:rPr>
          <w:sz w:val="28"/>
        </w:rPr>
        <w:t>4</w:t>
      </w:r>
      <w:r w:rsidRPr="007D146A">
        <w:rPr>
          <w:sz w:val="28"/>
        </w:rPr>
        <w:t xml:space="preserve">% к уточненному годовому плану по доходам). В структуре доходов </w:t>
      </w:r>
      <w:r>
        <w:rPr>
          <w:sz w:val="28"/>
        </w:rPr>
        <w:t>76</w:t>
      </w:r>
      <w:r w:rsidRPr="007D146A">
        <w:rPr>
          <w:sz w:val="28"/>
        </w:rPr>
        <w:t xml:space="preserve">% - безвозмездные поступления, </w:t>
      </w:r>
      <w:r>
        <w:rPr>
          <w:sz w:val="28"/>
        </w:rPr>
        <w:t>16</w:t>
      </w:r>
      <w:r w:rsidRPr="007D146A">
        <w:rPr>
          <w:sz w:val="28"/>
        </w:rPr>
        <w:t>%- налоговые доходы, 8% -неналоговые доходы.</w:t>
      </w:r>
    </w:p>
    <w:p w:rsidR="009C40C7" w:rsidRPr="007D146A" w:rsidRDefault="009C40C7" w:rsidP="009C40C7">
      <w:pPr>
        <w:ind w:firstLine="426"/>
        <w:jc w:val="right"/>
        <w:rPr>
          <w:sz w:val="28"/>
        </w:rPr>
      </w:pPr>
      <w:r w:rsidRPr="007D146A">
        <w:rPr>
          <w:sz w:val="28"/>
        </w:rPr>
        <w:t>Рис. 2</w:t>
      </w:r>
    </w:p>
    <w:p w:rsidR="009C40C7" w:rsidRPr="00CB653F" w:rsidRDefault="009C40C7" w:rsidP="009C40C7">
      <w:pPr>
        <w:ind w:firstLine="426"/>
        <w:jc w:val="center"/>
        <w:rPr>
          <w:rFonts w:asciiTheme="minorHAnsi" w:hAnsiTheme="minorHAnsi"/>
          <w:sz w:val="28"/>
        </w:rPr>
      </w:pPr>
      <w:r w:rsidRPr="00CB653F">
        <w:rPr>
          <w:rFonts w:asciiTheme="minorHAnsi" w:hAnsiTheme="minorHAnsi"/>
          <w:color w:val="595959" w:themeColor="text1" w:themeTint="A6"/>
          <w:sz w:val="28"/>
        </w:rPr>
        <w:t xml:space="preserve">Структура доходов бюджета города Пыть-Яха за 2014-2019 годы </w:t>
      </w:r>
      <w:r w:rsidRPr="00CB653F">
        <w:rPr>
          <w:rFonts w:asciiTheme="minorHAnsi" w:hAnsiTheme="minorHAnsi"/>
          <w:color w:val="595959" w:themeColor="text1" w:themeTint="A6"/>
          <w:sz w:val="28"/>
        </w:rPr>
        <w:br/>
        <w:t>(млн. руб.)</w:t>
      </w:r>
    </w:p>
    <w:p w:rsidR="009C40C7" w:rsidRPr="007D146A" w:rsidRDefault="009C40C7" w:rsidP="009C40C7">
      <w:pPr>
        <w:jc w:val="both"/>
      </w:pPr>
      <w:r>
        <w:rPr>
          <w:noProof/>
        </w:rPr>
        <w:drawing>
          <wp:inline distT="0" distB="0" distL="0" distR="0" wp14:anchorId="77B028BF" wp14:editId="3C1813F5">
            <wp:extent cx="6172200" cy="271462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40C7" w:rsidRPr="007D146A" w:rsidRDefault="009C40C7" w:rsidP="009C40C7">
      <w:pPr>
        <w:spacing w:line="360" w:lineRule="auto"/>
        <w:ind w:firstLine="708"/>
        <w:jc w:val="both"/>
        <w:rPr>
          <w:sz w:val="28"/>
          <w:szCs w:val="28"/>
        </w:rPr>
      </w:pPr>
      <w:r w:rsidRPr="007D146A">
        <w:rPr>
          <w:sz w:val="28"/>
          <w:szCs w:val="28"/>
        </w:rPr>
        <w:t xml:space="preserve">Расходная часть бюджета исполнена в сумме </w:t>
      </w:r>
      <w:r>
        <w:rPr>
          <w:sz w:val="28"/>
          <w:szCs w:val="28"/>
        </w:rPr>
        <w:t>3 963,6 млн. рублей</w:t>
      </w:r>
      <w:r w:rsidRPr="007D146A">
        <w:rPr>
          <w:sz w:val="28"/>
          <w:szCs w:val="28"/>
        </w:rPr>
        <w:t xml:space="preserve">. Установленные на 2017 год плановые показатели бюджета исполнены на </w:t>
      </w:r>
      <w:r>
        <w:rPr>
          <w:sz w:val="28"/>
          <w:szCs w:val="28"/>
        </w:rPr>
        <w:t>70</w:t>
      </w:r>
      <w:r w:rsidRPr="007D146A">
        <w:rPr>
          <w:sz w:val="28"/>
          <w:szCs w:val="28"/>
        </w:rPr>
        <w:t>%</w:t>
      </w:r>
      <w:r>
        <w:rPr>
          <w:sz w:val="28"/>
          <w:szCs w:val="28"/>
        </w:rPr>
        <w:t>. Исполнение расходов не в полном объеме обусловлено</w:t>
      </w:r>
      <w:r w:rsidRPr="0073052A">
        <w:rPr>
          <w:sz w:val="28"/>
          <w:szCs w:val="28"/>
        </w:rPr>
        <w:t xml:space="preserve"> </w:t>
      </w:r>
      <w:r>
        <w:rPr>
          <w:sz w:val="28"/>
          <w:szCs w:val="28"/>
        </w:rPr>
        <w:t xml:space="preserve">выделением средств из </w:t>
      </w:r>
      <w:r>
        <w:rPr>
          <w:sz w:val="28"/>
          <w:szCs w:val="28"/>
        </w:rPr>
        <w:lastRenderedPageBreak/>
        <w:t xml:space="preserve">бюджета автономного округа в октябре 2018 года на реализацию </w:t>
      </w:r>
      <w:r w:rsidRPr="003F0229">
        <w:rPr>
          <w:sz w:val="28"/>
          <w:szCs w:val="28"/>
        </w:rPr>
        <w:t>программ муниципальных образований по ликвидации и расселению приспособленных для проживания строений</w:t>
      </w:r>
      <w:r>
        <w:rPr>
          <w:sz w:val="28"/>
          <w:szCs w:val="28"/>
        </w:rPr>
        <w:t xml:space="preserve"> в сумме 1 738,2 млн. рублей, кроме того </w:t>
      </w:r>
      <w:r w:rsidRPr="0073052A">
        <w:rPr>
          <w:sz w:val="28"/>
          <w:szCs w:val="28"/>
        </w:rPr>
        <w:t>приостановлен</w:t>
      </w:r>
      <w:r>
        <w:rPr>
          <w:sz w:val="28"/>
          <w:szCs w:val="28"/>
        </w:rPr>
        <w:t>о строительство</w:t>
      </w:r>
      <w:r w:rsidRPr="0073052A">
        <w:rPr>
          <w:sz w:val="28"/>
          <w:szCs w:val="28"/>
        </w:rPr>
        <w:t xml:space="preserve"> ФСК с ледовой ареной </w:t>
      </w:r>
      <w:r w:rsidRPr="006669E1">
        <w:rPr>
          <w:sz w:val="28"/>
          <w:szCs w:val="28"/>
        </w:rPr>
        <w:t>на основании предписания авторского надзора</w:t>
      </w:r>
      <w:r>
        <w:rPr>
          <w:sz w:val="28"/>
          <w:szCs w:val="28"/>
        </w:rPr>
        <w:t xml:space="preserve"> (</w:t>
      </w:r>
      <w:r w:rsidRPr="006669E1">
        <w:rPr>
          <w:sz w:val="28"/>
          <w:szCs w:val="28"/>
        </w:rPr>
        <w:t>контракт на строительно-монтажные работы расторгнут в одностороннем порядке, контракт на авторский надзор расторгнут по соглашению сторон, разработана «дорожная карта» для решения вопросов</w:t>
      </w:r>
      <w:r>
        <w:rPr>
          <w:sz w:val="28"/>
          <w:szCs w:val="28"/>
        </w:rPr>
        <w:t xml:space="preserve"> по внесению изменений в проект). Расходы бюджета города за 2018 год без учета безвозмездных поступлений, имеющих целевое назначение исполнены на 94,8%.</w:t>
      </w:r>
      <w:r w:rsidRPr="007D146A">
        <w:rPr>
          <w:sz w:val="28"/>
          <w:szCs w:val="28"/>
        </w:rPr>
        <w:t xml:space="preserve"> </w:t>
      </w:r>
    </w:p>
    <w:p w:rsidR="009C40C7" w:rsidRPr="007D146A" w:rsidRDefault="009C40C7" w:rsidP="009C40C7">
      <w:pPr>
        <w:jc w:val="right"/>
        <w:rPr>
          <w:sz w:val="28"/>
          <w:szCs w:val="28"/>
        </w:rPr>
      </w:pPr>
      <w:r w:rsidRPr="007D146A">
        <w:rPr>
          <w:sz w:val="28"/>
          <w:szCs w:val="28"/>
        </w:rPr>
        <w:t>Рис.3</w:t>
      </w:r>
    </w:p>
    <w:p w:rsidR="009C40C7" w:rsidRPr="007D146A" w:rsidRDefault="009C40C7" w:rsidP="009C40C7">
      <w:pPr>
        <w:jc w:val="center"/>
      </w:pPr>
      <w:r w:rsidRPr="007D146A">
        <w:rPr>
          <w:noProof/>
        </w:rPr>
        <w:drawing>
          <wp:inline distT="0" distB="0" distL="0" distR="0" wp14:anchorId="02C27F7D" wp14:editId="7AA19DF2">
            <wp:extent cx="5991225" cy="3743325"/>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40C7" w:rsidRDefault="009C40C7" w:rsidP="009C40C7">
      <w:pPr>
        <w:spacing w:line="360" w:lineRule="auto"/>
        <w:ind w:firstLine="709"/>
        <w:jc w:val="both"/>
        <w:rPr>
          <w:sz w:val="28"/>
        </w:rPr>
      </w:pPr>
      <w:r w:rsidRPr="00700A30">
        <w:rPr>
          <w:sz w:val="28"/>
        </w:rPr>
        <w:t>В целом расходы на социальный блок за 201</w:t>
      </w:r>
      <w:r>
        <w:rPr>
          <w:sz w:val="28"/>
        </w:rPr>
        <w:t>8</w:t>
      </w:r>
      <w:r w:rsidRPr="00700A30">
        <w:rPr>
          <w:sz w:val="28"/>
        </w:rPr>
        <w:t xml:space="preserve"> год составили </w:t>
      </w:r>
      <w:r>
        <w:rPr>
          <w:sz w:val="28"/>
        </w:rPr>
        <w:t>49,3</w:t>
      </w:r>
      <w:r w:rsidRPr="00700A30">
        <w:rPr>
          <w:sz w:val="28"/>
        </w:rPr>
        <w:t xml:space="preserve"> %, или </w:t>
      </w:r>
      <w:r>
        <w:rPr>
          <w:sz w:val="28"/>
        </w:rPr>
        <w:t>1 952,1</w:t>
      </w:r>
      <w:r w:rsidRPr="00700A30">
        <w:rPr>
          <w:sz w:val="28"/>
        </w:rPr>
        <w:t xml:space="preserve"> млн. рублей в общих расходах бюджета города</w:t>
      </w:r>
      <w:r>
        <w:rPr>
          <w:sz w:val="28"/>
        </w:rPr>
        <w:t xml:space="preserve">. </w:t>
      </w:r>
      <w:r w:rsidRPr="00700A30">
        <w:rPr>
          <w:sz w:val="28"/>
        </w:rPr>
        <w:t xml:space="preserve">На протяжении последних лет наблюдается социальная направленность бюджета. Удельный вес расходов на социальную сферу в динамике составляет </w:t>
      </w:r>
      <w:r>
        <w:rPr>
          <w:sz w:val="28"/>
        </w:rPr>
        <w:t>около</w:t>
      </w:r>
      <w:r w:rsidRPr="00700A30">
        <w:rPr>
          <w:sz w:val="28"/>
        </w:rPr>
        <w:t xml:space="preserve"> 50 % от общих р</w:t>
      </w:r>
      <w:r>
        <w:rPr>
          <w:sz w:val="28"/>
        </w:rPr>
        <w:t>асходов бюджета города Пыть-Яха</w:t>
      </w:r>
      <w:r w:rsidRPr="00700A30">
        <w:rPr>
          <w:sz w:val="28"/>
        </w:rPr>
        <w:t>, что подтверждает приоритет использования ресурсов в человеческий капитал и свидетельствует о социальной ориентированности бюджета. В 201</w:t>
      </w:r>
      <w:r>
        <w:rPr>
          <w:sz w:val="28"/>
        </w:rPr>
        <w:t>8</w:t>
      </w:r>
      <w:r w:rsidRPr="00700A30">
        <w:rPr>
          <w:sz w:val="28"/>
        </w:rPr>
        <w:t xml:space="preserve"> году расходы на социальную сферу в расчете на 1 жителя города Пыть-Яха сложился в сумме </w:t>
      </w:r>
      <w:r>
        <w:rPr>
          <w:sz w:val="28"/>
        </w:rPr>
        <w:t>48,8</w:t>
      </w:r>
      <w:r w:rsidRPr="00700A30">
        <w:rPr>
          <w:sz w:val="28"/>
        </w:rPr>
        <w:t xml:space="preserve"> тысяч рублей.</w:t>
      </w:r>
    </w:p>
    <w:p w:rsidR="009C40C7" w:rsidRPr="00700A30" w:rsidRDefault="009C40C7" w:rsidP="009C40C7">
      <w:pPr>
        <w:spacing w:line="360" w:lineRule="auto"/>
        <w:ind w:firstLine="709"/>
        <w:jc w:val="both"/>
        <w:rPr>
          <w:sz w:val="28"/>
        </w:rPr>
      </w:pPr>
      <w:r w:rsidRPr="00700A30">
        <w:rPr>
          <w:sz w:val="28"/>
        </w:rPr>
        <w:lastRenderedPageBreak/>
        <w:t>В структуре расходов бюджета за 201</w:t>
      </w:r>
      <w:r>
        <w:rPr>
          <w:sz w:val="28"/>
        </w:rPr>
        <w:t>8</w:t>
      </w:r>
      <w:r w:rsidRPr="00700A30">
        <w:rPr>
          <w:sz w:val="28"/>
        </w:rPr>
        <w:t xml:space="preserve"> год расходы бюджета на жилищно-коммунальное хозяйство произведены в сумме </w:t>
      </w:r>
      <w:r>
        <w:rPr>
          <w:sz w:val="28"/>
        </w:rPr>
        <w:t>1 263,4</w:t>
      </w:r>
      <w:r w:rsidRPr="00700A30">
        <w:rPr>
          <w:sz w:val="28"/>
        </w:rPr>
        <w:t xml:space="preserve"> млн. рублей, что составляет </w:t>
      </w:r>
      <w:r>
        <w:rPr>
          <w:sz w:val="28"/>
        </w:rPr>
        <w:t>31,9</w:t>
      </w:r>
      <w:r w:rsidRPr="00700A30">
        <w:rPr>
          <w:sz w:val="28"/>
        </w:rPr>
        <w:t xml:space="preserve"> % в общих расходах бюджета города.</w:t>
      </w:r>
    </w:p>
    <w:p w:rsidR="009C40C7" w:rsidRPr="00700A30" w:rsidRDefault="009C40C7" w:rsidP="009C40C7">
      <w:pPr>
        <w:spacing w:line="360" w:lineRule="auto"/>
        <w:ind w:firstLine="709"/>
        <w:jc w:val="both"/>
        <w:rPr>
          <w:sz w:val="28"/>
        </w:rPr>
      </w:pPr>
      <w:r w:rsidRPr="00700A30">
        <w:rPr>
          <w:sz w:val="28"/>
        </w:rPr>
        <w:t>На остальные отрасли (Общегосударственные вопросы, Национальная оборона, Национальная безопасность и правоохранительная деятельность,</w:t>
      </w:r>
      <w:r>
        <w:rPr>
          <w:sz w:val="28"/>
        </w:rPr>
        <w:t xml:space="preserve"> </w:t>
      </w:r>
      <w:r w:rsidRPr="00D45B72">
        <w:rPr>
          <w:sz w:val="28"/>
        </w:rPr>
        <w:t>Охрана окружающей среды</w:t>
      </w:r>
      <w:r>
        <w:rPr>
          <w:sz w:val="28"/>
        </w:rPr>
        <w:t xml:space="preserve">, </w:t>
      </w:r>
      <w:r w:rsidRPr="00700A30">
        <w:rPr>
          <w:sz w:val="28"/>
        </w:rPr>
        <w:t xml:space="preserve">Средства массовой информации, Обслуживание муниципального долга) приходится </w:t>
      </w:r>
      <w:r>
        <w:rPr>
          <w:sz w:val="28"/>
        </w:rPr>
        <w:t>13,4</w:t>
      </w:r>
      <w:r w:rsidRPr="00700A30">
        <w:rPr>
          <w:sz w:val="28"/>
        </w:rPr>
        <w:t xml:space="preserve"> % от общих расходов бюджета города Пыть-Яха</w:t>
      </w:r>
    </w:p>
    <w:p w:rsidR="009C40C7" w:rsidRPr="00700A30" w:rsidRDefault="009C40C7" w:rsidP="009C40C7">
      <w:pPr>
        <w:spacing w:line="360" w:lineRule="auto"/>
        <w:ind w:firstLine="709"/>
        <w:jc w:val="both"/>
        <w:rPr>
          <w:sz w:val="28"/>
        </w:rPr>
      </w:pPr>
      <w:r w:rsidRPr="00700A30">
        <w:rPr>
          <w:sz w:val="28"/>
        </w:rPr>
        <w:t>Расходы на развитие отраслей экономического блока, относящихся к раздел</w:t>
      </w:r>
      <w:r>
        <w:rPr>
          <w:sz w:val="28"/>
        </w:rPr>
        <w:t>у</w:t>
      </w:r>
      <w:r w:rsidRPr="00700A30">
        <w:rPr>
          <w:sz w:val="28"/>
        </w:rPr>
        <w:t xml:space="preserve"> «Национальная экономика», произведены в сумме </w:t>
      </w:r>
      <w:r>
        <w:rPr>
          <w:sz w:val="28"/>
        </w:rPr>
        <w:t>216,5</w:t>
      </w:r>
      <w:r w:rsidRPr="00700A30">
        <w:rPr>
          <w:sz w:val="28"/>
        </w:rPr>
        <w:t xml:space="preserve"> млн. рублей, что составляет </w:t>
      </w:r>
      <w:r>
        <w:rPr>
          <w:sz w:val="28"/>
        </w:rPr>
        <w:t>5,5</w:t>
      </w:r>
      <w:r w:rsidRPr="00700A30">
        <w:rPr>
          <w:sz w:val="28"/>
        </w:rPr>
        <w:t xml:space="preserve"> % в общих расходах бюджета.</w:t>
      </w:r>
    </w:p>
    <w:p w:rsidR="009C40C7" w:rsidRPr="007D146A" w:rsidRDefault="009C40C7" w:rsidP="009C40C7">
      <w:pPr>
        <w:jc w:val="right"/>
        <w:rPr>
          <w:sz w:val="28"/>
          <w:szCs w:val="28"/>
        </w:rPr>
      </w:pPr>
      <w:r>
        <w:rPr>
          <w:sz w:val="28"/>
          <w:szCs w:val="28"/>
        </w:rPr>
        <w:t>Рис. 4</w:t>
      </w:r>
    </w:p>
    <w:p w:rsidR="009C40C7" w:rsidRPr="00CB653F" w:rsidRDefault="009C40C7" w:rsidP="009C40C7">
      <w:pPr>
        <w:jc w:val="center"/>
        <w:rPr>
          <w:rFonts w:asciiTheme="minorHAnsi" w:hAnsiTheme="minorHAnsi"/>
          <w:sz w:val="28"/>
        </w:rPr>
      </w:pPr>
      <w:r w:rsidRPr="00CB653F">
        <w:rPr>
          <w:rFonts w:asciiTheme="minorHAnsi" w:hAnsiTheme="minorHAnsi"/>
          <w:color w:val="595959" w:themeColor="text1" w:themeTint="A6"/>
          <w:sz w:val="28"/>
        </w:rPr>
        <w:t>Динамика расходов бюджета города Пыть-Яха</w:t>
      </w:r>
    </w:p>
    <w:p w:rsidR="009C40C7" w:rsidRDefault="009C40C7" w:rsidP="009C40C7">
      <w:pPr>
        <w:jc w:val="both"/>
      </w:pPr>
      <w:r w:rsidRPr="007D146A">
        <w:rPr>
          <w:noProof/>
        </w:rPr>
        <w:drawing>
          <wp:inline distT="0" distB="0" distL="0" distR="0" wp14:anchorId="25354E52" wp14:editId="090A5E82">
            <wp:extent cx="5962650" cy="212407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40C7" w:rsidRPr="00700A30" w:rsidRDefault="009C40C7" w:rsidP="009C40C7">
      <w:pPr>
        <w:spacing w:line="360" w:lineRule="auto"/>
        <w:ind w:firstLine="709"/>
        <w:jc w:val="both"/>
        <w:rPr>
          <w:sz w:val="28"/>
        </w:rPr>
      </w:pPr>
      <w:r w:rsidRPr="00700A30">
        <w:rPr>
          <w:sz w:val="28"/>
        </w:rPr>
        <w:t>Бюджетная политика в социальной сфере ориентирована на сохранение приоритетности в финансовом обеспечении обширного спектра задач в области образования, социальной политики, культуры, физической культуры и спорта.</w:t>
      </w:r>
      <w:r>
        <w:rPr>
          <w:sz w:val="28"/>
        </w:rPr>
        <w:t xml:space="preserve"> </w:t>
      </w:r>
      <w:r w:rsidRPr="00911C8C">
        <w:rPr>
          <w:sz w:val="28"/>
          <w:szCs w:val="28"/>
        </w:rPr>
        <w:t xml:space="preserve">По отношению к предыдущему финансовому году расходы на социальную сферу увеличились на </w:t>
      </w:r>
      <w:r>
        <w:rPr>
          <w:sz w:val="28"/>
          <w:szCs w:val="28"/>
        </w:rPr>
        <w:t>289,3</w:t>
      </w:r>
      <w:r w:rsidRPr="00911C8C">
        <w:rPr>
          <w:sz w:val="28"/>
          <w:szCs w:val="28"/>
        </w:rPr>
        <w:t xml:space="preserve"> млн. рублей</w:t>
      </w:r>
    </w:p>
    <w:p w:rsidR="009C40C7" w:rsidRDefault="009C40C7" w:rsidP="009C40C7">
      <w:pPr>
        <w:spacing w:line="360" w:lineRule="auto"/>
        <w:ind w:firstLine="709"/>
        <w:jc w:val="both"/>
        <w:rPr>
          <w:sz w:val="28"/>
        </w:rPr>
      </w:pPr>
      <w:r w:rsidRPr="00700A30">
        <w:rPr>
          <w:sz w:val="28"/>
        </w:rPr>
        <w:t>Приоритетом в финансировании социальной сферы в 201</w:t>
      </w:r>
      <w:r>
        <w:rPr>
          <w:sz w:val="28"/>
        </w:rPr>
        <w:t>8</w:t>
      </w:r>
      <w:r w:rsidRPr="00700A30">
        <w:rPr>
          <w:sz w:val="28"/>
        </w:rPr>
        <w:t xml:space="preserve"> году остается реализация указов Президента России.</w:t>
      </w:r>
      <w:r>
        <w:rPr>
          <w:sz w:val="28"/>
        </w:rPr>
        <w:t xml:space="preserve"> За 2018 год расходы, направленные на реализацию Указов, составляют 1 342,7 млн. рублей. </w:t>
      </w:r>
      <w:r w:rsidRPr="00E6188C">
        <w:rPr>
          <w:sz w:val="28"/>
        </w:rPr>
        <w:t xml:space="preserve">Учитывая, что 2018 год – это год завершения реализации положений указов Президента Российской Федерации 2012 года в части обеспечения достижения целевых показателей повышения оплаты труда по отдельным категориям работников социальной сферы, их </w:t>
      </w:r>
      <w:r w:rsidRPr="00E6188C">
        <w:rPr>
          <w:sz w:val="28"/>
        </w:rPr>
        <w:lastRenderedPageBreak/>
        <w:t xml:space="preserve">выполнение осуществлялось в приоритетном порядке, в том числе за счет повышения эффективности расходов по соответствующим муниципальным программам и финансирования обязательств за счет средств от приносящей доход деятельности. </w:t>
      </w:r>
      <w:r>
        <w:rPr>
          <w:sz w:val="28"/>
        </w:rPr>
        <w:t xml:space="preserve">По итогам 2018 года, </w:t>
      </w:r>
      <w:r w:rsidRPr="0073052A">
        <w:rPr>
          <w:sz w:val="28"/>
        </w:rPr>
        <w:t>целевы</w:t>
      </w:r>
      <w:r>
        <w:rPr>
          <w:sz w:val="28"/>
        </w:rPr>
        <w:t>е</w:t>
      </w:r>
      <w:r w:rsidRPr="0073052A">
        <w:rPr>
          <w:sz w:val="28"/>
        </w:rPr>
        <w:t xml:space="preserve"> показател</w:t>
      </w:r>
      <w:r>
        <w:rPr>
          <w:sz w:val="28"/>
        </w:rPr>
        <w:t>и</w:t>
      </w:r>
      <w:r w:rsidRPr="0073052A">
        <w:rPr>
          <w:sz w:val="28"/>
        </w:rPr>
        <w:t xml:space="preserve"> по средней заработной плате отдельных категорий работников, в соответствии с Указами Президента Российской Федерации от 07 мая 2012 г. №597 «О мероприятиях по реализации государственной социальной политики», от 01 июня 2012 г. №761 «О национальной стратегии действий в интересах детей на 2012 – 2017 годы» </w:t>
      </w:r>
      <w:r>
        <w:rPr>
          <w:sz w:val="28"/>
        </w:rPr>
        <w:t xml:space="preserve">достигнуты в 100,0% размере, в соответствии с </w:t>
      </w:r>
      <w:r w:rsidRPr="00C01F49">
        <w:rPr>
          <w:sz w:val="28"/>
        </w:rPr>
        <w:t>целевы</w:t>
      </w:r>
      <w:r>
        <w:rPr>
          <w:sz w:val="28"/>
        </w:rPr>
        <w:t>ми</w:t>
      </w:r>
      <w:r w:rsidRPr="00C01F49">
        <w:rPr>
          <w:sz w:val="28"/>
        </w:rPr>
        <w:t xml:space="preserve"> показател</w:t>
      </w:r>
      <w:r>
        <w:rPr>
          <w:sz w:val="28"/>
        </w:rPr>
        <w:t>ями</w:t>
      </w:r>
      <w:r w:rsidRPr="00C01F49">
        <w:rPr>
          <w:sz w:val="28"/>
        </w:rPr>
        <w:t xml:space="preserve">, доведенных </w:t>
      </w:r>
      <w:proofErr w:type="spellStart"/>
      <w:r w:rsidRPr="0069748F">
        <w:rPr>
          <w:sz w:val="28"/>
        </w:rPr>
        <w:t>Депкультурой</w:t>
      </w:r>
      <w:proofErr w:type="spellEnd"/>
      <w:r w:rsidRPr="0069748F">
        <w:rPr>
          <w:sz w:val="28"/>
        </w:rPr>
        <w:t xml:space="preserve"> Югры и </w:t>
      </w:r>
      <w:proofErr w:type="spellStart"/>
      <w:r w:rsidRPr="0069748F">
        <w:rPr>
          <w:sz w:val="28"/>
        </w:rPr>
        <w:t>Депобразования</w:t>
      </w:r>
      <w:proofErr w:type="spellEnd"/>
      <w:r w:rsidRPr="0069748F">
        <w:rPr>
          <w:sz w:val="28"/>
        </w:rPr>
        <w:t xml:space="preserve"> Югры</w:t>
      </w:r>
      <w:r>
        <w:rPr>
          <w:sz w:val="28"/>
        </w:rPr>
        <w:t>.</w:t>
      </w:r>
    </w:p>
    <w:p w:rsidR="009C40C7" w:rsidRPr="004968C4" w:rsidRDefault="009C40C7" w:rsidP="009C40C7">
      <w:pPr>
        <w:spacing w:line="360" w:lineRule="auto"/>
        <w:ind w:firstLine="709"/>
        <w:jc w:val="both"/>
        <w:rPr>
          <w:sz w:val="28"/>
        </w:rPr>
      </w:pPr>
      <w:r w:rsidRPr="004968C4">
        <w:rPr>
          <w:sz w:val="28"/>
        </w:rPr>
        <w:t>Уровень средней заработной платы составил:</w:t>
      </w:r>
    </w:p>
    <w:p w:rsidR="009C40C7" w:rsidRPr="004968C4" w:rsidRDefault="009C40C7" w:rsidP="009C40C7">
      <w:pPr>
        <w:spacing w:line="360" w:lineRule="auto"/>
        <w:ind w:firstLine="709"/>
        <w:jc w:val="both"/>
        <w:rPr>
          <w:sz w:val="28"/>
        </w:rPr>
      </w:pPr>
      <w:r>
        <w:rPr>
          <w:sz w:val="28"/>
        </w:rPr>
        <w:t>-</w:t>
      </w:r>
      <w:r>
        <w:rPr>
          <w:sz w:val="28"/>
        </w:rPr>
        <w:tab/>
        <w:t>60 709,4</w:t>
      </w:r>
      <w:r w:rsidRPr="004968C4">
        <w:rPr>
          <w:sz w:val="28"/>
        </w:rPr>
        <w:t xml:space="preserve"> руб. - работников учреждений культуры;</w:t>
      </w:r>
    </w:p>
    <w:p w:rsidR="009C40C7" w:rsidRPr="004968C4" w:rsidRDefault="009C40C7" w:rsidP="009C40C7">
      <w:pPr>
        <w:spacing w:line="360" w:lineRule="auto"/>
        <w:ind w:firstLine="709"/>
        <w:jc w:val="both"/>
        <w:rPr>
          <w:sz w:val="28"/>
        </w:rPr>
      </w:pPr>
      <w:r w:rsidRPr="004968C4">
        <w:rPr>
          <w:sz w:val="28"/>
        </w:rPr>
        <w:t>-</w:t>
      </w:r>
      <w:r>
        <w:rPr>
          <w:sz w:val="28"/>
        </w:rPr>
        <w:tab/>
        <w:t>65 232,4</w:t>
      </w:r>
      <w:r w:rsidRPr="004968C4">
        <w:rPr>
          <w:sz w:val="28"/>
        </w:rPr>
        <w:t xml:space="preserve"> руб. - педагогических работников учреждений дополнительного образования;</w:t>
      </w:r>
    </w:p>
    <w:p w:rsidR="009C40C7" w:rsidRPr="004968C4" w:rsidRDefault="009C40C7" w:rsidP="009C40C7">
      <w:pPr>
        <w:spacing w:line="360" w:lineRule="auto"/>
        <w:ind w:firstLine="709"/>
        <w:jc w:val="both"/>
        <w:rPr>
          <w:sz w:val="28"/>
        </w:rPr>
      </w:pPr>
      <w:r w:rsidRPr="004968C4">
        <w:rPr>
          <w:sz w:val="28"/>
        </w:rPr>
        <w:t>-</w:t>
      </w:r>
      <w:r>
        <w:rPr>
          <w:sz w:val="28"/>
        </w:rPr>
        <w:tab/>
        <w:t>53 700,3</w:t>
      </w:r>
      <w:r w:rsidRPr="004968C4">
        <w:rPr>
          <w:sz w:val="28"/>
        </w:rPr>
        <w:t xml:space="preserve"> руб. - педагогических работников организаций дошкольного образования;</w:t>
      </w:r>
    </w:p>
    <w:p w:rsidR="009C40C7" w:rsidRDefault="009C40C7" w:rsidP="009C40C7">
      <w:pPr>
        <w:spacing w:line="360" w:lineRule="auto"/>
        <w:ind w:firstLine="709"/>
        <w:jc w:val="both"/>
        <w:rPr>
          <w:sz w:val="28"/>
        </w:rPr>
      </w:pPr>
      <w:r w:rsidRPr="004968C4">
        <w:rPr>
          <w:sz w:val="28"/>
        </w:rPr>
        <w:t>-</w:t>
      </w:r>
      <w:r>
        <w:rPr>
          <w:sz w:val="28"/>
        </w:rPr>
        <w:tab/>
        <w:t>60 853,7</w:t>
      </w:r>
      <w:r w:rsidRPr="004968C4">
        <w:rPr>
          <w:sz w:val="28"/>
        </w:rPr>
        <w:t xml:space="preserve"> рубль - педагогических работников организаций общего образования.</w:t>
      </w:r>
    </w:p>
    <w:p w:rsidR="009C40C7" w:rsidRPr="003A702F" w:rsidRDefault="009C40C7" w:rsidP="009C40C7">
      <w:pPr>
        <w:spacing w:line="360" w:lineRule="auto"/>
        <w:ind w:firstLine="708"/>
        <w:jc w:val="both"/>
        <w:rPr>
          <w:sz w:val="28"/>
          <w:szCs w:val="28"/>
        </w:rPr>
      </w:pPr>
      <w:r>
        <w:rPr>
          <w:sz w:val="28"/>
        </w:rPr>
        <w:t>В бюджете города на 2019 год</w:t>
      </w:r>
      <w:r w:rsidRPr="000E0279">
        <w:rPr>
          <w:sz w:val="28"/>
        </w:rPr>
        <w:t xml:space="preserve"> 8 муниципальных программ интегрированы 7 национальных проектов (программ), определенных Указом № 204 «О национальных целях и стратегических задачах развития Российской Федерации на период до 2024 года», что позволит обеспечить системный подход к достижению национальных целей и стратегических задач Российской Федерации в городе, повысить эффективность реализации муниципальных программ и, в целом, динамику достижения стратегической цели города Пыть-Яха – повышение качества жизни населения </w:t>
      </w:r>
      <w:r w:rsidRPr="003A702F">
        <w:rPr>
          <w:sz w:val="28"/>
          <w:szCs w:val="28"/>
        </w:rPr>
        <w:t>города.</w:t>
      </w:r>
    </w:p>
    <w:p w:rsidR="009C40C7" w:rsidRPr="003A702F" w:rsidRDefault="009C40C7" w:rsidP="009C40C7">
      <w:pPr>
        <w:autoSpaceDE w:val="0"/>
        <w:autoSpaceDN w:val="0"/>
        <w:adjustRightInd w:val="0"/>
        <w:ind w:firstLine="709"/>
        <w:jc w:val="right"/>
        <w:rPr>
          <w:sz w:val="28"/>
          <w:szCs w:val="28"/>
        </w:rPr>
      </w:pPr>
      <w:r w:rsidRPr="003A702F">
        <w:rPr>
          <w:sz w:val="28"/>
          <w:szCs w:val="28"/>
        </w:rPr>
        <w:t>Таблица 3</w:t>
      </w:r>
    </w:p>
    <w:p w:rsidR="009C40C7" w:rsidRPr="003A702F" w:rsidRDefault="009C40C7" w:rsidP="009C40C7">
      <w:pPr>
        <w:autoSpaceDE w:val="0"/>
        <w:autoSpaceDN w:val="0"/>
        <w:adjustRightInd w:val="0"/>
        <w:jc w:val="center"/>
        <w:rPr>
          <w:b/>
          <w:sz w:val="28"/>
          <w:szCs w:val="28"/>
        </w:rPr>
      </w:pPr>
      <w:r w:rsidRPr="003A702F">
        <w:rPr>
          <w:b/>
          <w:sz w:val="28"/>
          <w:szCs w:val="28"/>
        </w:rPr>
        <w:t>Расходы бюджета города Пыть-Яха на финансовое обеспечение реализации национальных проектов на 2019-2021 годы</w:t>
      </w:r>
    </w:p>
    <w:p w:rsidR="009C40C7" w:rsidRPr="003A702F" w:rsidRDefault="009C40C7" w:rsidP="009C40C7">
      <w:pPr>
        <w:autoSpaceDE w:val="0"/>
        <w:autoSpaceDN w:val="0"/>
        <w:adjustRightInd w:val="0"/>
        <w:ind w:firstLine="709"/>
        <w:jc w:val="right"/>
        <w:rPr>
          <w:sz w:val="28"/>
          <w:szCs w:val="28"/>
        </w:rPr>
      </w:pPr>
      <w:r w:rsidRPr="003A702F">
        <w:rPr>
          <w:sz w:val="28"/>
          <w:szCs w:val="28"/>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34"/>
        <w:gridCol w:w="1134"/>
        <w:gridCol w:w="1134"/>
        <w:gridCol w:w="1276"/>
      </w:tblGrid>
      <w:tr w:rsidR="009C40C7" w:rsidRPr="00555EAC" w:rsidTr="009C40C7">
        <w:trPr>
          <w:cantSplit/>
          <w:trHeight w:val="20"/>
          <w:tblHeader/>
        </w:trPr>
        <w:tc>
          <w:tcPr>
            <w:tcW w:w="4673"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lastRenderedPageBreak/>
              <w:t>Наименование национального проекта / Наименование региональной составляющей федерального проекта, по направлениям</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2019 год</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2020 год</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2021 год</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Итого: 2019-2021 годы</w:t>
            </w:r>
          </w:p>
        </w:tc>
      </w:tr>
      <w:tr w:rsidR="009C40C7" w:rsidRPr="00555EAC" w:rsidTr="009C40C7">
        <w:trPr>
          <w:cantSplit/>
          <w:trHeight w:val="20"/>
          <w:tblHeader/>
        </w:trPr>
        <w:tc>
          <w:tcPr>
            <w:tcW w:w="4673"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5=2+3+4</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b/>
                <w:bCs/>
                <w:color w:val="000000"/>
                <w:sz w:val="20"/>
                <w:szCs w:val="20"/>
              </w:rPr>
            </w:pPr>
            <w:r w:rsidRPr="00555EAC">
              <w:rPr>
                <w:b/>
                <w:bCs/>
                <w:color w:val="000000"/>
                <w:sz w:val="20"/>
                <w:szCs w:val="20"/>
              </w:rPr>
              <w:t>ВСЕГО на реализацию национальных проектов</w:t>
            </w:r>
          </w:p>
        </w:tc>
        <w:tc>
          <w:tcPr>
            <w:tcW w:w="1134" w:type="dxa"/>
            <w:shd w:val="clear" w:color="auto" w:fill="auto"/>
            <w:vAlign w:val="center"/>
            <w:hideMark/>
          </w:tcPr>
          <w:p w:rsidR="009C40C7" w:rsidRPr="00555EAC" w:rsidRDefault="009C40C7" w:rsidP="009C40C7">
            <w:pPr>
              <w:jc w:val="center"/>
              <w:rPr>
                <w:b/>
                <w:bCs/>
                <w:color w:val="000000"/>
                <w:sz w:val="20"/>
                <w:szCs w:val="20"/>
              </w:rPr>
            </w:pPr>
            <w:r w:rsidRPr="00555EAC">
              <w:rPr>
                <w:b/>
                <w:bCs/>
                <w:color w:val="000000"/>
                <w:sz w:val="20"/>
                <w:szCs w:val="20"/>
              </w:rPr>
              <w:t>291 244,3</w:t>
            </w:r>
          </w:p>
        </w:tc>
        <w:tc>
          <w:tcPr>
            <w:tcW w:w="1134" w:type="dxa"/>
            <w:shd w:val="clear" w:color="auto" w:fill="auto"/>
            <w:vAlign w:val="center"/>
            <w:hideMark/>
          </w:tcPr>
          <w:p w:rsidR="009C40C7" w:rsidRPr="00555EAC" w:rsidRDefault="009C40C7" w:rsidP="009C40C7">
            <w:pPr>
              <w:jc w:val="center"/>
              <w:rPr>
                <w:b/>
                <w:bCs/>
                <w:color w:val="000000"/>
                <w:sz w:val="20"/>
                <w:szCs w:val="20"/>
              </w:rPr>
            </w:pPr>
            <w:r w:rsidRPr="00555EAC">
              <w:rPr>
                <w:b/>
                <w:bCs/>
                <w:color w:val="000000"/>
                <w:sz w:val="20"/>
                <w:szCs w:val="20"/>
              </w:rPr>
              <w:t>695 012,5</w:t>
            </w:r>
          </w:p>
        </w:tc>
        <w:tc>
          <w:tcPr>
            <w:tcW w:w="1134" w:type="dxa"/>
            <w:shd w:val="clear" w:color="auto" w:fill="auto"/>
            <w:vAlign w:val="center"/>
            <w:hideMark/>
          </w:tcPr>
          <w:p w:rsidR="009C40C7" w:rsidRPr="00555EAC" w:rsidRDefault="009C40C7" w:rsidP="009C40C7">
            <w:pPr>
              <w:jc w:val="center"/>
              <w:rPr>
                <w:b/>
                <w:bCs/>
                <w:color w:val="000000"/>
                <w:sz w:val="20"/>
                <w:szCs w:val="20"/>
              </w:rPr>
            </w:pPr>
            <w:r w:rsidRPr="00555EAC">
              <w:rPr>
                <w:b/>
                <w:bCs/>
                <w:color w:val="000000"/>
                <w:sz w:val="20"/>
                <w:szCs w:val="20"/>
              </w:rPr>
              <w:t>663 590,1</w:t>
            </w:r>
          </w:p>
        </w:tc>
        <w:tc>
          <w:tcPr>
            <w:tcW w:w="1276" w:type="dxa"/>
            <w:shd w:val="clear" w:color="auto" w:fill="auto"/>
            <w:vAlign w:val="center"/>
            <w:hideMark/>
          </w:tcPr>
          <w:p w:rsidR="009C40C7" w:rsidRPr="00555EAC" w:rsidRDefault="009C40C7" w:rsidP="009C40C7">
            <w:pPr>
              <w:jc w:val="center"/>
              <w:rPr>
                <w:b/>
                <w:bCs/>
                <w:color w:val="000000"/>
                <w:sz w:val="20"/>
                <w:szCs w:val="20"/>
              </w:rPr>
            </w:pPr>
            <w:r w:rsidRPr="00555EAC">
              <w:rPr>
                <w:b/>
                <w:bCs/>
                <w:color w:val="000000"/>
                <w:sz w:val="20"/>
                <w:szCs w:val="20"/>
              </w:rPr>
              <w:t>1 649 846,9</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b/>
                <w:bCs/>
                <w:i/>
                <w:iCs/>
                <w:color w:val="000000"/>
                <w:sz w:val="20"/>
                <w:szCs w:val="20"/>
              </w:rPr>
            </w:pPr>
            <w:r w:rsidRPr="00555EAC">
              <w:rPr>
                <w:b/>
                <w:bCs/>
                <w:i/>
                <w:iCs/>
                <w:color w:val="000000"/>
                <w:sz w:val="20"/>
                <w:szCs w:val="20"/>
              </w:rPr>
              <w:t>Итого НП «Демография»:</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103 962,2</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102 794,2</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96 057,0</w:t>
            </w:r>
          </w:p>
        </w:tc>
        <w:tc>
          <w:tcPr>
            <w:tcW w:w="1276"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302 813,4</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Муниципальная программа "Развитие физической культуры и спорта в городе Пыть-Яхе" всего, в том числе:</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103 962,2</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102 794,2</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96 057,0</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302 813,4</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города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101 538,5</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101 538,5</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94 801,3</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297 878,3</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автономного округа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1 947,8</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1 255,7</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1 255,7</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4 459,2</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федеральный бюджет</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475,9</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475,9</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b/>
                <w:bCs/>
                <w:i/>
                <w:iCs/>
                <w:color w:val="000000"/>
                <w:sz w:val="20"/>
                <w:szCs w:val="20"/>
              </w:rPr>
            </w:pPr>
            <w:r w:rsidRPr="00555EAC">
              <w:rPr>
                <w:b/>
                <w:bCs/>
                <w:i/>
                <w:iCs/>
                <w:color w:val="000000"/>
                <w:sz w:val="20"/>
                <w:szCs w:val="20"/>
              </w:rPr>
              <w:t>Итого по НП "Образование":</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54 423,8</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54 423,8</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54 423,8</w:t>
            </w:r>
          </w:p>
        </w:tc>
        <w:tc>
          <w:tcPr>
            <w:tcW w:w="1276"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163 271,4</w:t>
            </w:r>
          </w:p>
        </w:tc>
      </w:tr>
      <w:tr w:rsidR="009C40C7" w:rsidRPr="00555EAC" w:rsidTr="009C40C7">
        <w:trPr>
          <w:cantSplit/>
          <w:trHeight w:val="20"/>
        </w:trPr>
        <w:tc>
          <w:tcPr>
            <w:tcW w:w="4673" w:type="dxa"/>
            <w:shd w:val="clear" w:color="auto" w:fill="auto"/>
            <w:vAlign w:val="bottom"/>
            <w:hideMark/>
          </w:tcPr>
          <w:p w:rsidR="009C40C7" w:rsidRPr="00555EAC" w:rsidRDefault="009C40C7" w:rsidP="009C40C7">
            <w:pPr>
              <w:rPr>
                <w:color w:val="000000"/>
                <w:sz w:val="20"/>
                <w:szCs w:val="20"/>
              </w:rPr>
            </w:pPr>
            <w:r w:rsidRPr="00555EAC">
              <w:rPr>
                <w:color w:val="000000"/>
                <w:sz w:val="20"/>
                <w:szCs w:val="20"/>
              </w:rPr>
              <w:t>Муниципальная программа "Развитие образования в городе Пыть-Яхе" всего, в том числе:</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54 423,8</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54 423,8</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54 423,8</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163 271,4</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города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54 423,8</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54 423,8</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54 423,8</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163 271,4</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автономного округа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0,0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федеральный бюджет</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0,0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b/>
                <w:bCs/>
                <w:i/>
                <w:iCs/>
                <w:color w:val="000000"/>
                <w:sz w:val="20"/>
                <w:szCs w:val="20"/>
              </w:rPr>
            </w:pPr>
            <w:r w:rsidRPr="00555EAC">
              <w:rPr>
                <w:b/>
                <w:bCs/>
                <w:i/>
                <w:iCs/>
                <w:color w:val="000000"/>
                <w:sz w:val="20"/>
                <w:szCs w:val="20"/>
              </w:rPr>
              <w:t>Итого по НП «Жилье и городская среда»:</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123 413,9</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141 814,8</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118 691,5</w:t>
            </w:r>
          </w:p>
        </w:tc>
        <w:tc>
          <w:tcPr>
            <w:tcW w:w="1276"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383 920,2</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Муниципальная программа "Развитие жилищной сферы в городе Пыть-Яхе" всего, в том числе:</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110 834,6</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129 911,6</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109 038,0</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349 784,2</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города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17 312,7</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10 330,1</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8 682,9</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36 325,7</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автономного округа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88 985,0</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115 140,5</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95 914,1</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300 039,6</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федеральный бюджет</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4 536,9</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4 441,0</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4 441,0</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13 418,9</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Муниципальная программа "Жилищно-коммунальный комплекс и городская среда города Пыть-Яха" всего, в том числе:</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12 579,3</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11 903,2</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9 653,5</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34 136,0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города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1 886,9</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1 785,5</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1 448,1</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5 120,5</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автономного округа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10 692,4</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10 117,7</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8 205,4</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29 015,5</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федеральный бюджет</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0,0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b/>
                <w:bCs/>
                <w:i/>
                <w:iCs/>
                <w:color w:val="000000"/>
                <w:sz w:val="20"/>
                <w:szCs w:val="20"/>
              </w:rPr>
            </w:pPr>
            <w:r w:rsidRPr="00555EAC">
              <w:rPr>
                <w:b/>
                <w:bCs/>
                <w:i/>
                <w:iCs/>
                <w:color w:val="000000"/>
                <w:sz w:val="20"/>
                <w:szCs w:val="20"/>
              </w:rPr>
              <w:t>Итого по НП «Экология»:</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663,0</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386 806,8</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385 998,3</w:t>
            </w:r>
          </w:p>
        </w:tc>
        <w:tc>
          <w:tcPr>
            <w:tcW w:w="1276"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773 468,1</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Муниципальная программа "Жилищно-коммунальный комплекс и городская среда города Пыть-Яха" всего, в том числе:</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0,0</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386 143,8</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385 335,3</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771 479,1</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города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19 307,2</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19 266,8</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38 574,0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автономного округа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366 836,6</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366 068,5</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732 905,1</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федеральный бюджет</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0,0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Муниципальная программа "Экологическая безопасность города Пыть-Яха" всего, в том числе:</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663,0</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663,0</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663,0</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1 989,0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города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663,0</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663,0</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663,0</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1 989,0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автономного округа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0,0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федеральный бюджет</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0,0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b/>
                <w:bCs/>
                <w:i/>
                <w:iCs/>
                <w:color w:val="000000"/>
                <w:sz w:val="20"/>
                <w:szCs w:val="20"/>
              </w:rPr>
            </w:pPr>
            <w:r w:rsidRPr="00555EAC">
              <w:rPr>
                <w:b/>
                <w:bCs/>
                <w:i/>
                <w:iCs/>
                <w:color w:val="000000"/>
                <w:sz w:val="20"/>
                <w:szCs w:val="20"/>
              </w:rPr>
              <w:t>Итого по НП «Цифровая экономика»:</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2 075,2</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2 075,2</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2 075,2</w:t>
            </w:r>
          </w:p>
        </w:tc>
        <w:tc>
          <w:tcPr>
            <w:tcW w:w="1276"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6 225,6</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Муниципальная программа "Цифровое развитие города Пыть-Яха" всего, в том числе:</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2 075,2</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2 075,2</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2 075,2</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6 225,6</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города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2 075,2</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2 075,2</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2 075,2</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6 225,6</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автономного округа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0,0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федеральный бюджет</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0,0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b/>
                <w:bCs/>
                <w:i/>
                <w:iCs/>
                <w:color w:val="000000"/>
                <w:sz w:val="20"/>
                <w:szCs w:val="20"/>
              </w:rPr>
            </w:pPr>
            <w:r w:rsidRPr="00555EAC">
              <w:rPr>
                <w:b/>
                <w:bCs/>
                <w:i/>
                <w:iCs/>
                <w:color w:val="000000"/>
                <w:sz w:val="20"/>
                <w:szCs w:val="20"/>
              </w:rPr>
              <w:t>Итого по НП «Культура»:</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1 305,4</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2 133,2</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1 379,8</w:t>
            </w:r>
          </w:p>
        </w:tc>
        <w:tc>
          <w:tcPr>
            <w:tcW w:w="1276"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4 818,4</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Муниципальная программа "Культурное пространство города Пыть-Яха" всего, в том числе:</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1 305,4</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2 133,2</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1 379,8</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4 818,4</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города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223,3</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347,5</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234,5</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805,3</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автономного округа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1 082,1</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1 785,7</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1 145,3</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4 013,1</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федеральный бюджет</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0,0</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b/>
                <w:bCs/>
                <w:i/>
                <w:iCs/>
                <w:color w:val="000000"/>
                <w:sz w:val="20"/>
                <w:szCs w:val="20"/>
              </w:rPr>
            </w:pPr>
            <w:r w:rsidRPr="00555EAC">
              <w:rPr>
                <w:b/>
                <w:bCs/>
                <w:i/>
                <w:iCs/>
                <w:color w:val="000000"/>
                <w:sz w:val="20"/>
                <w:szCs w:val="20"/>
              </w:rPr>
              <w:t>Итого по НП «Малое и среднее предпринимательство и поддержка индивидуальной предпринимательской инициативы»:</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5 400,8</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4 964,5</w:t>
            </w:r>
          </w:p>
        </w:tc>
        <w:tc>
          <w:tcPr>
            <w:tcW w:w="1134"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4 964,5</w:t>
            </w:r>
          </w:p>
        </w:tc>
        <w:tc>
          <w:tcPr>
            <w:tcW w:w="1276" w:type="dxa"/>
            <w:shd w:val="clear" w:color="auto" w:fill="auto"/>
            <w:vAlign w:val="center"/>
            <w:hideMark/>
          </w:tcPr>
          <w:p w:rsidR="009C40C7" w:rsidRPr="00555EAC" w:rsidRDefault="009C40C7" w:rsidP="009C40C7">
            <w:pPr>
              <w:jc w:val="center"/>
              <w:rPr>
                <w:b/>
                <w:bCs/>
                <w:i/>
                <w:iCs/>
                <w:color w:val="000000"/>
                <w:sz w:val="20"/>
                <w:szCs w:val="20"/>
              </w:rPr>
            </w:pPr>
            <w:r w:rsidRPr="00555EAC">
              <w:rPr>
                <w:b/>
                <w:bCs/>
                <w:i/>
                <w:iCs/>
                <w:color w:val="000000"/>
                <w:sz w:val="20"/>
                <w:szCs w:val="20"/>
              </w:rPr>
              <w:t>15 329,8</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Муниципальная программа "Развитие экономического потенциала города Пыть-Яха" всего, в том числе:</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5 400,8</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4 964,5</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4 964,5</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15 329,8</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lastRenderedPageBreak/>
              <w:t>- бюджет города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543,3</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499,6</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499,6</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1 542,5</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бюджет автономного округа</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4 857,5</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4 464,9</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4 464,9</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13 787,3</w:t>
            </w:r>
          </w:p>
        </w:tc>
      </w:tr>
      <w:tr w:rsidR="009C40C7" w:rsidRPr="00555EAC" w:rsidTr="009C40C7">
        <w:trPr>
          <w:cantSplit/>
          <w:trHeight w:val="20"/>
        </w:trPr>
        <w:tc>
          <w:tcPr>
            <w:tcW w:w="4673" w:type="dxa"/>
            <w:shd w:val="clear" w:color="auto" w:fill="auto"/>
            <w:vAlign w:val="center"/>
            <w:hideMark/>
          </w:tcPr>
          <w:p w:rsidR="009C40C7" w:rsidRPr="00555EAC" w:rsidRDefault="009C40C7" w:rsidP="009C40C7">
            <w:pPr>
              <w:rPr>
                <w:color w:val="000000"/>
                <w:sz w:val="20"/>
                <w:szCs w:val="20"/>
              </w:rPr>
            </w:pPr>
            <w:r w:rsidRPr="00555EAC">
              <w:rPr>
                <w:color w:val="000000"/>
                <w:sz w:val="20"/>
                <w:szCs w:val="20"/>
              </w:rPr>
              <w:t>- федеральный бюджет</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134"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 </w:t>
            </w:r>
          </w:p>
        </w:tc>
        <w:tc>
          <w:tcPr>
            <w:tcW w:w="1276" w:type="dxa"/>
            <w:shd w:val="clear" w:color="auto" w:fill="auto"/>
            <w:vAlign w:val="center"/>
            <w:hideMark/>
          </w:tcPr>
          <w:p w:rsidR="009C40C7" w:rsidRPr="00555EAC" w:rsidRDefault="009C40C7" w:rsidP="009C40C7">
            <w:pPr>
              <w:jc w:val="center"/>
              <w:rPr>
                <w:color w:val="000000"/>
                <w:sz w:val="20"/>
                <w:szCs w:val="20"/>
              </w:rPr>
            </w:pPr>
            <w:r w:rsidRPr="00555EAC">
              <w:rPr>
                <w:color w:val="000000"/>
                <w:sz w:val="20"/>
                <w:szCs w:val="20"/>
              </w:rPr>
              <w:t>0,0</w:t>
            </w:r>
          </w:p>
        </w:tc>
      </w:tr>
    </w:tbl>
    <w:p w:rsidR="009C40C7" w:rsidRPr="00700A30" w:rsidRDefault="009C40C7" w:rsidP="009C40C7">
      <w:pPr>
        <w:spacing w:before="240" w:line="360" w:lineRule="auto"/>
        <w:ind w:firstLine="708"/>
        <w:jc w:val="both"/>
        <w:rPr>
          <w:sz w:val="28"/>
        </w:rPr>
      </w:pPr>
      <w:r w:rsidRPr="00700A30">
        <w:rPr>
          <w:sz w:val="28"/>
        </w:rPr>
        <w:t xml:space="preserve">Начиная с 2014 года осуществлен переход на программно-целевой метод планирования и исполнения бюджета, что позволило оценивать исполнения бюджета не только с позиции финансовых показателей, но и с позиции достижения целевых показателей социально-экономического развития городского округа. </w:t>
      </w:r>
    </w:p>
    <w:p w:rsidR="009C40C7" w:rsidRDefault="009C40C7" w:rsidP="009C40C7">
      <w:pPr>
        <w:spacing w:line="360" w:lineRule="auto"/>
        <w:ind w:firstLine="709"/>
        <w:jc w:val="right"/>
        <w:rPr>
          <w:sz w:val="28"/>
        </w:rPr>
      </w:pPr>
      <w:r>
        <w:rPr>
          <w:sz w:val="28"/>
        </w:rPr>
        <w:t>Рис. 5</w:t>
      </w:r>
    </w:p>
    <w:p w:rsidR="009C40C7" w:rsidRDefault="009C40C7" w:rsidP="009C40C7">
      <w:pPr>
        <w:spacing w:line="360" w:lineRule="auto"/>
        <w:jc w:val="both"/>
        <w:rPr>
          <w:sz w:val="28"/>
        </w:rPr>
      </w:pPr>
      <w:r>
        <w:rPr>
          <w:noProof/>
          <w:sz w:val="28"/>
        </w:rPr>
        <w:drawing>
          <wp:inline distT="0" distB="0" distL="0" distR="0" wp14:anchorId="6DD855F9" wp14:editId="1F672CDE">
            <wp:extent cx="5915025" cy="2286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40C7" w:rsidRPr="00E6188C" w:rsidRDefault="009C40C7" w:rsidP="009C40C7">
      <w:pPr>
        <w:spacing w:line="360" w:lineRule="auto"/>
        <w:ind w:firstLine="709"/>
        <w:jc w:val="both"/>
        <w:rPr>
          <w:sz w:val="28"/>
        </w:rPr>
      </w:pPr>
      <w:r w:rsidRPr="00E6188C">
        <w:rPr>
          <w:sz w:val="28"/>
        </w:rPr>
        <w:t xml:space="preserve">Начиная с 2015 года, доля расходов бюджета города, формируемых на основе муниципальных программ, составляет </w:t>
      </w:r>
      <w:r>
        <w:rPr>
          <w:sz w:val="28"/>
        </w:rPr>
        <w:t>более 95%</w:t>
      </w:r>
      <w:r w:rsidRPr="00E6188C">
        <w:rPr>
          <w:sz w:val="28"/>
        </w:rPr>
        <w:t>.</w:t>
      </w:r>
    </w:p>
    <w:p w:rsidR="009C40C7" w:rsidRDefault="009C40C7" w:rsidP="009C40C7">
      <w:pPr>
        <w:spacing w:line="360" w:lineRule="auto"/>
        <w:ind w:firstLine="709"/>
        <w:jc w:val="both"/>
        <w:rPr>
          <w:sz w:val="28"/>
        </w:rPr>
      </w:pPr>
      <w:r w:rsidRPr="00E6188C">
        <w:rPr>
          <w:sz w:val="28"/>
        </w:rPr>
        <w:t xml:space="preserve">Установленные целевые показатели позволяют эффективно и своевременно оценивать достижение поставленных целей и задач по итогам реализации муниципальных программ. По отношению к предыдущему 2017 году расходы городского бюджета на реализацию муниципальных программ увеличились на </w:t>
      </w:r>
      <w:r>
        <w:rPr>
          <w:sz w:val="28"/>
        </w:rPr>
        <w:t>29,2</w:t>
      </w:r>
      <w:r w:rsidRPr="00E6188C">
        <w:rPr>
          <w:sz w:val="28"/>
        </w:rPr>
        <w:t xml:space="preserve">% или на </w:t>
      </w:r>
      <w:r>
        <w:rPr>
          <w:sz w:val="28"/>
        </w:rPr>
        <w:t>887,7</w:t>
      </w:r>
      <w:r w:rsidRPr="00E6188C">
        <w:rPr>
          <w:sz w:val="28"/>
        </w:rPr>
        <w:t xml:space="preserve"> млн. рублей.</w:t>
      </w:r>
    </w:p>
    <w:p w:rsidR="009C40C7" w:rsidRPr="00700A30" w:rsidRDefault="009C40C7" w:rsidP="009C40C7">
      <w:pPr>
        <w:spacing w:line="360" w:lineRule="auto"/>
        <w:ind w:firstLine="708"/>
        <w:jc w:val="both"/>
        <w:rPr>
          <w:sz w:val="28"/>
        </w:rPr>
      </w:pPr>
      <w:r w:rsidRPr="00700A30">
        <w:rPr>
          <w:sz w:val="28"/>
        </w:rPr>
        <w:t xml:space="preserve">Эффективность и результативность «программного» бюджета зависит от качества муниципальных программ городского округа. При разработке бюджетного прогноза городского округа на долгосрочный период по муниципальным программам городского округа утверждены предельные расходы на их финансовое обеспечение на период реализации. Одной из первоочередных задач является аккумуляция имеющихся резервов повышения эффективности </w:t>
      </w:r>
      <w:r w:rsidRPr="00700A30">
        <w:rPr>
          <w:sz w:val="28"/>
        </w:rPr>
        <w:lastRenderedPageBreak/>
        <w:t>бюджетных расходов на реализацию действующих муниципальных программ городского округа.</w:t>
      </w:r>
    </w:p>
    <w:p w:rsidR="009C40C7" w:rsidRPr="00700A30" w:rsidRDefault="009C40C7" w:rsidP="009C40C7">
      <w:pPr>
        <w:spacing w:line="360" w:lineRule="auto"/>
        <w:ind w:firstLine="708"/>
        <w:jc w:val="both"/>
        <w:rPr>
          <w:sz w:val="28"/>
        </w:rPr>
      </w:pPr>
      <w:r w:rsidRPr="00700A30">
        <w:rPr>
          <w:sz w:val="28"/>
        </w:rPr>
        <w:t xml:space="preserve">За отчетный период в рамках утвержденных муниципальных и ведомственной целевой программ бюджета города исполнен в сумме </w:t>
      </w:r>
      <w:r>
        <w:rPr>
          <w:sz w:val="28"/>
        </w:rPr>
        <w:t>3 924,3</w:t>
      </w:r>
      <w:r w:rsidRPr="00700A30">
        <w:rPr>
          <w:sz w:val="28"/>
        </w:rPr>
        <w:t xml:space="preserve"> млн. руб., что составляет </w:t>
      </w:r>
      <w:r>
        <w:rPr>
          <w:sz w:val="28"/>
        </w:rPr>
        <w:t>99,0</w:t>
      </w:r>
      <w:r w:rsidRPr="00700A30">
        <w:rPr>
          <w:sz w:val="28"/>
        </w:rPr>
        <w:t>% от общей суммы расходов городского бюджета (в 201</w:t>
      </w:r>
      <w:r>
        <w:rPr>
          <w:sz w:val="28"/>
        </w:rPr>
        <w:t>7</w:t>
      </w:r>
      <w:r w:rsidRPr="00700A30">
        <w:rPr>
          <w:sz w:val="28"/>
        </w:rPr>
        <w:t xml:space="preserve"> году доля расходов в рамках утвержденных муниципальных и ведомственной целевой программ составило </w:t>
      </w:r>
      <w:r>
        <w:rPr>
          <w:sz w:val="28"/>
        </w:rPr>
        <w:t>98,7</w:t>
      </w:r>
      <w:r w:rsidRPr="00700A30">
        <w:rPr>
          <w:sz w:val="28"/>
        </w:rPr>
        <w:t>% к общей сумме расходов).</w:t>
      </w:r>
    </w:p>
    <w:p w:rsidR="009C40C7" w:rsidRDefault="009C40C7" w:rsidP="009C40C7">
      <w:pPr>
        <w:spacing w:line="360" w:lineRule="auto"/>
        <w:jc w:val="right"/>
        <w:rPr>
          <w:sz w:val="28"/>
        </w:rPr>
      </w:pPr>
      <w:r w:rsidRPr="00C132EA">
        <w:rPr>
          <w:sz w:val="28"/>
        </w:rPr>
        <w:t xml:space="preserve">Рис. </w:t>
      </w:r>
      <w:r>
        <w:rPr>
          <w:sz w:val="28"/>
        </w:rPr>
        <w:t>6</w:t>
      </w:r>
    </w:p>
    <w:p w:rsidR="009C40C7" w:rsidRDefault="009C40C7" w:rsidP="009C40C7">
      <w:pPr>
        <w:spacing w:line="360" w:lineRule="auto"/>
        <w:jc w:val="right"/>
        <w:rPr>
          <w:sz w:val="28"/>
        </w:rPr>
      </w:pPr>
      <w:r>
        <w:rPr>
          <w:noProof/>
          <w:sz w:val="28"/>
        </w:rPr>
        <w:drawing>
          <wp:inline distT="0" distB="0" distL="0" distR="0" wp14:anchorId="5430FA6B" wp14:editId="7603B66E">
            <wp:extent cx="5886450" cy="37433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40C7" w:rsidRPr="00700A30" w:rsidRDefault="009C40C7" w:rsidP="009C40C7">
      <w:pPr>
        <w:spacing w:line="360" w:lineRule="auto"/>
        <w:jc w:val="both"/>
        <w:rPr>
          <w:sz w:val="28"/>
        </w:rPr>
      </w:pPr>
    </w:p>
    <w:p w:rsidR="009C40C7" w:rsidRPr="00911C8C" w:rsidRDefault="009C40C7" w:rsidP="009C40C7">
      <w:pPr>
        <w:spacing w:line="360" w:lineRule="auto"/>
        <w:ind w:right="142" w:firstLine="709"/>
        <w:jc w:val="both"/>
        <w:rPr>
          <w:sz w:val="28"/>
          <w:szCs w:val="28"/>
        </w:rPr>
      </w:pPr>
      <w:r w:rsidRPr="00911C8C">
        <w:rPr>
          <w:sz w:val="28"/>
          <w:szCs w:val="28"/>
        </w:rPr>
        <w:t xml:space="preserve">Приоритетное место в структуре бюджета муниципальных программ занимают социально-ориентированные муниципальные программы. Их доля в 2018 году составляет </w:t>
      </w:r>
      <w:r>
        <w:rPr>
          <w:sz w:val="28"/>
          <w:szCs w:val="28"/>
        </w:rPr>
        <w:t>47,8</w:t>
      </w:r>
      <w:r w:rsidRPr="00911C8C">
        <w:rPr>
          <w:sz w:val="28"/>
          <w:szCs w:val="28"/>
        </w:rPr>
        <w:t xml:space="preserve">% от структуры программных расходов бюджета города, или </w:t>
      </w:r>
      <w:r>
        <w:rPr>
          <w:sz w:val="28"/>
          <w:szCs w:val="28"/>
        </w:rPr>
        <w:t>1 874,8</w:t>
      </w:r>
      <w:r w:rsidRPr="00911C8C">
        <w:rPr>
          <w:sz w:val="28"/>
          <w:szCs w:val="28"/>
        </w:rPr>
        <w:t xml:space="preserve"> млн. рублей. По отношению к предыдущему финансовому году расходы на социальную сферу увеличились на </w:t>
      </w:r>
      <w:r>
        <w:rPr>
          <w:sz w:val="28"/>
          <w:szCs w:val="28"/>
        </w:rPr>
        <w:t>189,2</w:t>
      </w:r>
      <w:r w:rsidRPr="00911C8C">
        <w:rPr>
          <w:sz w:val="28"/>
          <w:szCs w:val="28"/>
        </w:rPr>
        <w:t xml:space="preserve"> млн. рублей.</w:t>
      </w:r>
    </w:p>
    <w:p w:rsidR="009C40C7" w:rsidRDefault="009C40C7" w:rsidP="009C40C7">
      <w:pPr>
        <w:spacing w:line="360" w:lineRule="auto"/>
        <w:ind w:right="142" w:firstLine="709"/>
        <w:jc w:val="both"/>
        <w:rPr>
          <w:sz w:val="28"/>
          <w:szCs w:val="28"/>
        </w:rPr>
      </w:pPr>
      <w:r w:rsidRPr="00911C8C">
        <w:rPr>
          <w:sz w:val="28"/>
          <w:szCs w:val="28"/>
        </w:rPr>
        <w:t>На реализацию программ в жилищ</w:t>
      </w:r>
      <w:r>
        <w:rPr>
          <w:sz w:val="28"/>
          <w:szCs w:val="28"/>
        </w:rPr>
        <w:t>но-коммунальной сфере направлено 1 311,0 млн. рублей или 33,4</w:t>
      </w:r>
      <w:r w:rsidRPr="00911C8C">
        <w:rPr>
          <w:sz w:val="28"/>
          <w:szCs w:val="28"/>
        </w:rPr>
        <w:t xml:space="preserve">% в структуре программных расходов. </w:t>
      </w:r>
    </w:p>
    <w:p w:rsidR="009C40C7" w:rsidRPr="00700A30" w:rsidRDefault="009C40C7" w:rsidP="009C40C7">
      <w:pPr>
        <w:spacing w:line="360" w:lineRule="auto"/>
        <w:ind w:firstLine="708"/>
        <w:jc w:val="both"/>
        <w:rPr>
          <w:sz w:val="28"/>
        </w:rPr>
      </w:pPr>
      <w:r w:rsidRPr="00700A30">
        <w:rPr>
          <w:sz w:val="28"/>
        </w:rPr>
        <w:lastRenderedPageBreak/>
        <w:t>Для решения задачи по повышению эффективности муниципальных услуг в городском округе продолжается работа, направленная на рациональное и экономное использование бюджетных средств.</w:t>
      </w:r>
    </w:p>
    <w:p w:rsidR="009C40C7" w:rsidRPr="00C132EA" w:rsidRDefault="009C40C7" w:rsidP="009C40C7">
      <w:pPr>
        <w:spacing w:line="360" w:lineRule="auto"/>
        <w:ind w:firstLine="708"/>
        <w:jc w:val="both"/>
        <w:rPr>
          <w:sz w:val="28"/>
        </w:rPr>
      </w:pPr>
      <w:r w:rsidRPr="00C132EA">
        <w:rPr>
          <w:sz w:val="28"/>
        </w:rPr>
        <w:t>Бюджет города за 201</w:t>
      </w:r>
      <w:r>
        <w:rPr>
          <w:sz w:val="28"/>
        </w:rPr>
        <w:t>8</w:t>
      </w:r>
      <w:r w:rsidRPr="00C132EA">
        <w:rPr>
          <w:sz w:val="28"/>
        </w:rPr>
        <w:t xml:space="preserve"> год исполнен с профицитом в сумме </w:t>
      </w:r>
      <w:r>
        <w:rPr>
          <w:sz w:val="28"/>
        </w:rPr>
        <w:t>1 378,8</w:t>
      </w:r>
      <w:r w:rsidRPr="00C132EA">
        <w:rPr>
          <w:sz w:val="28"/>
        </w:rPr>
        <w:t xml:space="preserve"> млн. рублей</w:t>
      </w:r>
      <w:r>
        <w:rPr>
          <w:sz w:val="28"/>
        </w:rPr>
        <w:t xml:space="preserve">. Профицит бюджета сложился в результате остатков межбюджетных трансфертов. </w:t>
      </w:r>
    </w:p>
    <w:p w:rsidR="009C40C7" w:rsidRDefault="009C40C7" w:rsidP="009C40C7">
      <w:pPr>
        <w:spacing w:line="360" w:lineRule="auto"/>
        <w:ind w:firstLine="708"/>
        <w:jc w:val="both"/>
        <w:rPr>
          <w:sz w:val="28"/>
        </w:rPr>
      </w:pPr>
      <w:r w:rsidRPr="00C132EA">
        <w:rPr>
          <w:sz w:val="28"/>
        </w:rPr>
        <w:t>В 201</w:t>
      </w:r>
      <w:r>
        <w:rPr>
          <w:sz w:val="28"/>
        </w:rPr>
        <w:t>8</w:t>
      </w:r>
      <w:r w:rsidRPr="00C132EA">
        <w:rPr>
          <w:sz w:val="28"/>
        </w:rPr>
        <w:t xml:space="preserve"> году погашение кредита от кредитной организации, привлеченного для финансирования дефицита бюджета, составило </w:t>
      </w:r>
      <w:r>
        <w:rPr>
          <w:sz w:val="28"/>
        </w:rPr>
        <w:t>82</w:t>
      </w:r>
      <w:r w:rsidRPr="00C132EA">
        <w:rPr>
          <w:sz w:val="28"/>
        </w:rPr>
        <w:t xml:space="preserve">,0 млн. руб. Погашение муниципальных гарантий составило </w:t>
      </w:r>
      <w:r>
        <w:rPr>
          <w:sz w:val="28"/>
        </w:rPr>
        <w:t>72,7</w:t>
      </w:r>
      <w:r w:rsidRPr="00C132EA">
        <w:rPr>
          <w:sz w:val="28"/>
        </w:rPr>
        <w:t xml:space="preserve"> млн. руб. По состоянию на 01.01.201</w:t>
      </w:r>
      <w:r>
        <w:rPr>
          <w:sz w:val="28"/>
        </w:rPr>
        <w:t>9</w:t>
      </w:r>
      <w:r w:rsidRPr="00C132EA">
        <w:rPr>
          <w:sz w:val="28"/>
        </w:rPr>
        <w:t xml:space="preserve"> года объем муниципального долга составляет </w:t>
      </w:r>
      <w:r>
        <w:rPr>
          <w:sz w:val="28"/>
        </w:rPr>
        <w:t>176,3</w:t>
      </w:r>
      <w:r w:rsidRPr="00C132EA">
        <w:rPr>
          <w:sz w:val="28"/>
        </w:rPr>
        <w:t xml:space="preserve"> млн. руб. В области долговой политики работа администрации города направлена на минимизацию долговой нагрузки и сокращение расходов на обслуживание муниципального долга. </w:t>
      </w:r>
    </w:p>
    <w:p w:rsidR="009C40C7" w:rsidRDefault="009C40C7" w:rsidP="009C40C7">
      <w:pPr>
        <w:spacing w:line="360" w:lineRule="auto"/>
        <w:ind w:firstLine="708"/>
        <w:jc w:val="both"/>
        <w:rPr>
          <w:sz w:val="28"/>
        </w:rPr>
      </w:pPr>
      <w:r w:rsidRPr="003C38B6">
        <w:rPr>
          <w:sz w:val="28"/>
        </w:rPr>
        <w:t>В целях активизации работы по мобилизации доходов в бюджет муниципального образования городского округа города Пыть-Ях, сокращения размера дефицита бюджета, повышения качества и эффективности управления финансовыми ресурсами, на уровне муниципального образования принят план мероприятий по росту доходов и оптимизации расходов бюджета на 2018 год и на плановый период 2019 и 2020 годов, утвержденный распоряжением администрации города от 27.12.2017 № 2484-ра «О мероприятиях по исполнению решения Думы «О бюджете города Пыть-Яха на 2018 год и плановый период 2019-2020 годов»</w:t>
      </w:r>
      <w:r>
        <w:rPr>
          <w:sz w:val="28"/>
        </w:rPr>
        <w:t>,</w:t>
      </w:r>
      <w:r w:rsidRPr="003C38B6">
        <w:rPr>
          <w:sz w:val="28"/>
        </w:rPr>
        <w:t xml:space="preserve"> предусматривающий достижение бюджетного эффекта в сумме 118</w:t>
      </w:r>
      <w:r>
        <w:rPr>
          <w:sz w:val="28"/>
        </w:rPr>
        <w:t>,3</w:t>
      </w:r>
      <w:r w:rsidRPr="003C38B6">
        <w:rPr>
          <w:sz w:val="28"/>
        </w:rPr>
        <w:t xml:space="preserve"> млн. рублей</w:t>
      </w:r>
    </w:p>
    <w:p w:rsidR="009C40C7" w:rsidRDefault="009C40C7" w:rsidP="009C40C7">
      <w:pPr>
        <w:spacing w:line="360" w:lineRule="auto"/>
        <w:ind w:firstLine="708"/>
        <w:jc w:val="both"/>
        <w:rPr>
          <w:sz w:val="28"/>
        </w:rPr>
      </w:pPr>
      <w:r w:rsidRPr="003C38B6">
        <w:rPr>
          <w:sz w:val="28"/>
        </w:rPr>
        <w:t xml:space="preserve">В течение года выполнен ряд мероприятий по </w:t>
      </w:r>
      <w:r w:rsidRPr="00D83062">
        <w:rPr>
          <w:sz w:val="28"/>
        </w:rPr>
        <w:t xml:space="preserve">оптимизации расходов на текущее содержание </w:t>
      </w:r>
      <w:r>
        <w:rPr>
          <w:sz w:val="28"/>
        </w:rPr>
        <w:t xml:space="preserve">органов местного самоуправления, казенных учреждений, </w:t>
      </w:r>
      <w:r w:rsidRPr="00D83062">
        <w:rPr>
          <w:sz w:val="28"/>
        </w:rPr>
        <w:t>на финансовое обеспечение вы</w:t>
      </w:r>
      <w:r>
        <w:rPr>
          <w:sz w:val="28"/>
        </w:rPr>
        <w:t>полнения муниципального задания,</w:t>
      </w:r>
      <w:r w:rsidRPr="00D83062">
        <w:rPr>
          <w:sz w:val="28"/>
        </w:rPr>
        <w:t xml:space="preserve"> сокращение бюджетных средст</w:t>
      </w:r>
      <w:r>
        <w:rPr>
          <w:sz w:val="28"/>
        </w:rPr>
        <w:t>в по итогам закупочных процедур, по инвентаризации</w:t>
      </w:r>
      <w:r w:rsidRPr="00D83062">
        <w:rPr>
          <w:sz w:val="28"/>
        </w:rPr>
        <w:t xml:space="preserve"> мероприятий муниципальных программ и непрограммных расходов</w:t>
      </w:r>
      <w:r>
        <w:rPr>
          <w:sz w:val="28"/>
        </w:rPr>
        <w:t>, р</w:t>
      </w:r>
      <w:r w:rsidRPr="00D83062">
        <w:rPr>
          <w:sz w:val="28"/>
        </w:rPr>
        <w:t>еорганизаци</w:t>
      </w:r>
      <w:r>
        <w:rPr>
          <w:sz w:val="28"/>
        </w:rPr>
        <w:t>и</w:t>
      </w:r>
      <w:r w:rsidRPr="00D83062">
        <w:rPr>
          <w:sz w:val="28"/>
        </w:rPr>
        <w:t xml:space="preserve"> действующей сети муниципальных учреждений и снижение численности работающих в муниципальных учреждениях</w:t>
      </w:r>
      <w:r>
        <w:rPr>
          <w:sz w:val="28"/>
        </w:rPr>
        <w:t xml:space="preserve">, </w:t>
      </w:r>
      <w:r w:rsidRPr="00D83062">
        <w:rPr>
          <w:sz w:val="28"/>
        </w:rPr>
        <w:t>снижению расходов на оплату топливно-энергетических ресурсов</w:t>
      </w:r>
      <w:r>
        <w:rPr>
          <w:sz w:val="28"/>
        </w:rPr>
        <w:t>, по</w:t>
      </w:r>
      <w:r w:rsidRPr="00D83062">
        <w:rPr>
          <w:sz w:val="28"/>
        </w:rPr>
        <w:t xml:space="preserve"> расширени</w:t>
      </w:r>
      <w:r>
        <w:rPr>
          <w:sz w:val="28"/>
        </w:rPr>
        <w:t>ю</w:t>
      </w:r>
      <w:r w:rsidRPr="00D83062">
        <w:rPr>
          <w:sz w:val="28"/>
        </w:rPr>
        <w:t xml:space="preserve"> перечня и объёма </w:t>
      </w:r>
      <w:r w:rsidRPr="00D83062">
        <w:rPr>
          <w:sz w:val="28"/>
        </w:rPr>
        <w:lastRenderedPageBreak/>
        <w:t>платных услуг, оказываемых бюджетными и автономными учреждениями</w:t>
      </w:r>
      <w:r>
        <w:rPr>
          <w:sz w:val="28"/>
        </w:rPr>
        <w:t xml:space="preserve">, по </w:t>
      </w:r>
      <w:r w:rsidRPr="00D83062">
        <w:rPr>
          <w:sz w:val="28"/>
        </w:rPr>
        <w:t>передач</w:t>
      </w:r>
      <w:r>
        <w:rPr>
          <w:sz w:val="28"/>
        </w:rPr>
        <w:t>е</w:t>
      </w:r>
      <w:r w:rsidRPr="00D83062">
        <w:rPr>
          <w:sz w:val="28"/>
        </w:rPr>
        <w:t xml:space="preserve"> муниципальных услуг на исполнение в многофункционал</w:t>
      </w:r>
      <w:r>
        <w:rPr>
          <w:sz w:val="28"/>
        </w:rPr>
        <w:t xml:space="preserve">ьный центр предоставления услуг, </w:t>
      </w:r>
      <w:r w:rsidRPr="00D83062">
        <w:rPr>
          <w:sz w:val="28"/>
        </w:rPr>
        <w:t>привлечению немуниципальных организаций к оказанию муниципальных услуг</w:t>
      </w:r>
      <w:r>
        <w:rPr>
          <w:sz w:val="28"/>
        </w:rPr>
        <w:t xml:space="preserve">, </w:t>
      </w:r>
      <w:r w:rsidRPr="003C38B6">
        <w:rPr>
          <w:sz w:val="28"/>
        </w:rPr>
        <w:t xml:space="preserve">В результате проведенных мероприятий достигнут бюджетный эффект в сумме </w:t>
      </w:r>
      <w:r>
        <w:rPr>
          <w:sz w:val="28"/>
        </w:rPr>
        <w:t>77,8</w:t>
      </w:r>
      <w:r w:rsidRPr="003C38B6">
        <w:rPr>
          <w:sz w:val="28"/>
        </w:rPr>
        <w:t xml:space="preserve"> млн. рублей, что </w:t>
      </w:r>
      <w:r>
        <w:rPr>
          <w:sz w:val="28"/>
        </w:rPr>
        <w:t>составляет 100,% от</w:t>
      </w:r>
      <w:r w:rsidRPr="003C38B6">
        <w:rPr>
          <w:sz w:val="28"/>
        </w:rPr>
        <w:t xml:space="preserve"> намеченного показателя.</w:t>
      </w:r>
    </w:p>
    <w:p w:rsidR="009C40C7" w:rsidRDefault="009C40C7" w:rsidP="009C40C7">
      <w:pPr>
        <w:spacing w:line="360" w:lineRule="auto"/>
        <w:ind w:firstLine="708"/>
        <w:jc w:val="both"/>
        <w:rPr>
          <w:sz w:val="28"/>
        </w:rPr>
      </w:pPr>
      <w:r>
        <w:rPr>
          <w:sz w:val="28"/>
        </w:rPr>
        <w:t xml:space="preserve">В </w:t>
      </w:r>
      <w:r w:rsidRPr="00D83062">
        <w:rPr>
          <w:sz w:val="28"/>
        </w:rPr>
        <w:t xml:space="preserve">целях активизации работы по мобилизации доходов в бюджет города </w:t>
      </w:r>
      <w:r>
        <w:rPr>
          <w:sz w:val="28"/>
        </w:rPr>
        <w:t>Пыть-Яха</w:t>
      </w:r>
      <w:r w:rsidRPr="00D83062">
        <w:rPr>
          <w:sz w:val="28"/>
        </w:rPr>
        <w:t xml:space="preserve">, изыскания дополнительных резервов поступлений и сокращения размера дефицита бюджета города </w:t>
      </w:r>
      <w:r>
        <w:rPr>
          <w:sz w:val="28"/>
        </w:rPr>
        <w:t>в</w:t>
      </w:r>
      <w:r w:rsidRPr="00C01F49">
        <w:rPr>
          <w:sz w:val="28"/>
        </w:rPr>
        <w:t xml:space="preserve"> 201</w:t>
      </w:r>
      <w:r>
        <w:rPr>
          <w:sz w:val="28"/>
        </w:rPr>
        <w:t>8</w:t>
      </w:r>
      <w:r w:rsidRPr="00C01F49">
        <w:rPr>
          <w:sz w:val="28"/>
        </w:rPr>
        <w:t xml:space="preserve"> год</w:t>
      </w:r>
      <w:r>
        <w:rPr>
          <w:sz w:val="28"/>
        </w:rPr>
        <w:t>у</w:t>
      </w:r>
      <w:r w:rsidRPr="00C01F49">
        <w:rPr>
          <w:sz w:val="28"/>
        </w:rPr>
        <w:t xml:space="preserve"> проведены меры по привлечению дополнительных доходов в бюджет муниципального образования в результате которых сумма </w:t>
      </w:r>
      <w:r w:rsidRPr="003C38B6">
        <w:rPr>
          <w:sz w:val="28"/>
        </w:rPr>
        <w:t xml:space="preserve">дополнительных доходов </w:t>
      </w:r>
      <w:r w:rsidRPr="00C01F49">
        <w:rPr>
          <w:sz w:val="28"/>
        </w:rPr>
        <w:t>составила</w:t>
      </w:r>
      <w:r w:rsidRPr="003C38B6">
        <w:rPr>
          <w:sz w:val="28"/>
        </w:rPr>
        <w:t xml:space="preserve"> 43</w:t>
      </w:r>
      <w:r>
        <w:rPr>
          <w:sz w:val="28"/>
        </w:rPr>
        <w:t>,7 млн.</w:t>
      </w:r>
      <w:r w:rsidRPr="003C38B6">
        <w:rPr>
          <w:sz w:val="28"/>
        </w:rPr>
        <w:t xml:space="preserve"> руб</w:t>
      </w:r>
      <w:r>
        <w:rPr>
          <w:sz w:val="28"/>
        </w:rPr>
        <w:t>лей.</w:t>
      </w:r>
    </w:p>
    <w:p w:rsidR="009C40C7" w:rsidRPr="003C38B6" w:rsidRDefault="009C40C7" w:rsidP="009C40C7">
      <w:pPr>
        <w:spacing w:line="360" w:lineRule="auto"/>
        <w:ind w:firstLine="708"/>
        <w:jc w:val="both"/>
        <w:rPr>
          <w:sz w:val="28"/>
        </w:rPr>
      </w:pPr>
      <w:r>
        <w:rPr>
          <w:sz w:val="28"/>
        </w:rPr>
        <w:t>В целом от реализации плана мероприятий б</w:t>
      </w:r>
      <w:r w:rsidRPr="003C38B6">
        <w:rPr>
          <w:sz w:val="28"/>
        </w:rPr>
        <w:t>юджетный эффект по итогам 2018 года составил 121</w:t>
      </w:r>
      <w:r>
        <w:rPr>
          <w:sz w:val="28"/>
        </w:rPr>
        <w:t>,5 млн.</w:t>
      </w:r>
      <w:r w:rsidRPr="003C38B6">
        <w:rPr>
          <w:sz w:val="28"/>
        </w:rPr>
        <w:t xml:space="preserve"> рублей или 9,5 % к собственны</w:t>
      </w:r>
      <w:r>
        <w:rPr>
          <w:sz w:val="28"/>
        </w:rPr>
        <w:t>м</w:t>
      </w:r>
      <w:r w:rsidRPr="003C38B6">
        <w:rPr>
          <w:sz w:val="28"/>
        </w:rPr>
        <w:t xml:space="preserve"> доход</w:t>
      </w:r>
      <w:r>
        <w:rPr>
          <w:sz w:val="28"/>
        </w:rPr>
        <w:t>ам</w:t>
      </w:r>
      <w:r w:rsidRPr="003C38B6">
        <w:rPr>
          <w:sz w:val="28"/>
        </w:rPr>
        <w:t xml:space="preserve"> муниципального образования</w:t>
      </w:r>
      <w:r>
        <w:rPr>
          <w:sz w:val="28"/>
        </w:rPr>
        <w:t>.</w:t>
      </w:r>
    </w:p>
    <w:p w:rsidR="009C40C7" w:rsidRDefault="009C40C7" w:rsidP="009C40C7">
      <w:pPr>
        <w:spacing w:line="360" w:lineRule="auto"/>
        <w:ind w:firstLine="708"/>
        <w:jc w:val="both"/>
        <w:rPr>
          <w:sz w:val="28"/>
        </w:rPr>
      </w:pPr>
      <w:r w:rsidRPr="00C06B32">
        <w:rPr>
          <w:sz w:val="28"/>
        </w:rPr>
        <w:t>Администрацией города разработан аналогичный план мероприятий по росту доходов, оптимизации расходов местных бюджетов и сокращению муниципального долга на 201</w:t>
      </w:r>
      <w:r>
        <w:rPr>
          <w:sz w:val="28"/>
        </w:rPr>
        <w:t>9</w:t>
      </w:r>
      <w:r w:rsidRPr="00C06B32">
        <w:rPr>
          <w:sz w:val="28"/>
        </w:rPr>
        <w:t>-20</w:t>
      </w:r>
      <w:r>
        <w:rPr>
          <w:sz w:val="28"/>
        </w:rPr>
        <w:t>21</w:t>
      </w:r>
      <w:r w:rsidRPr="00C06B32">
        <w:rPr>
          <w:sz w:val="28"/>
        </w:rPr>
        <w:t xml:space="preserve"> годы.</w:t>
      </w:r>
    </w:p>
    <w:p w:rsidR="009C40C7" w:rsidRDefault="009C40C7" w:rsidP="009C40C7">
      <w:pPr>
        <w:spacing w:line="360" w:lineRule="auto"/>
        <w:ind w:firstLine="708"/>
        <w:jc w:val="both"/>
        <w:rPr>
          <w:sz w:val="28"/>
        </w:rPr>
      </w:pPr>
      <w:r w:rsidRPr="005A553B">
        <w:rPr>
          <w:sz w:val="28"/>
        </w:rPr>
        <w:t xml:space="preserve">В 2018 году продолжена работа по привлечению организаций негосударственного сектора к оказанию муниципальных услуг в соответствии с утвержденным планом мероприятий по поддержке доступа негосударственных организаций (коммерческих, некоммерческих) к предоставлению услуг в социальной сфере на территории города </w:t>
      </w:r>
      <w:r>
        <w:rPr>
          <w:sz w:val="28"/>
        </w:rPr>
        <w:t>Пыть-Яха</w:t>
      </w:r>
      <w:r w:rsidRPr="005A553B">
        <w:rPr>
          <w:sz w:val="28"/>
        </w:rPr>
        <w:t xml:space="preserve">. Общий объем финансирования муниципальных услуг, переданных негосударственным организациям, в 2018 году составил </w:t>
      </w:r>
      <w:r>
        <w:rPr>
          <w:sz w:val="28"/>
        </w:rPr>
        <w:t>4</w:t>
      </w:r>
      <w:r w:rsidRPr="005A553B">
        <w:rPr>
          <w:sz w:val="28"/>
        </w:rPr>
        <w:t xml:space="preserve"> млн. рублей</w:t>
      </w:r>
      <w:r>
        <w:rPr>
          <w:sz w:val="28"/>
        </w:rPr>
        <w:t>.</w:t>
      </w:r>
    </w:p>
    <w:p w:rsidR="009C40C7" w:rsidRDefault="009C40C7" w:rsidP="009C40C7">
      <w:pPr>
        <w:spacing w:line="360" w:lineRule="auto"/>
        <w:ind w:firstLine="708"/>
        <w:jc w:val="both"/>
        <w:rPr>
          <w:sz w:val="28"/>
        </w:rPr>
      </w:pPr>
      <w:r w:rsidRPr="00CB653F">
        <w:rPr>
          <w:sz w:val="28"/>
        </w:rPr>
        <w:t>В 2018 году учитывая обеспечение положительного прироста налоговых доходов и высокое качество планирования доходов бюджета, из бюджета Ханты-Мансийского автономного округа-Югры муниципал</w:t>
      </w:r>
      <w:r>
        <w:rPr>
          <w:sz w:val="28"/>
        </w:rPr>
        <w:t xml:space="preserve">ьному образованию предоставлен грант в виде </w:t>
      </w:r>
      <w:r w:rsidRPr="00CB653F">
        <w:rPr>
          <w:sz w:val="28"/>
        </w:rPr>
        <w:t>дотаци</w:t>
      </w:r>
      <w:r>
        <w:rPr>
          <w:sz w:val="28"/>
        </w:rPr>
        <w:t>и</w:t>
      </w:r>
      <w:r w:rsidRPr="00CB653F">
        <w:rPr>
          <w:sz w:val="28"/>
        </w:rPr>
        <w:t xml:space="preserve"> в сумме 1</w:t>
      </w:r>
      <w:r>
        <w:rPr>
          <w:sz w:val="28"/>
        </w:rPr>
        <w:t>2,8</w:t>
      </w:r>
      <w:r w:rsidRPr="00CB653F">
        <w:rPr>
          <w:sz w:val="28"/>
        </w:rPr>
        <w:t xml:space="preserve"> млн. рублей.</w:t>
      </w:r>
    </w:p>
    <w:p w:rsidR="009C40C7" w:rsidRPr="00FF737D" w:rsidRDefault="009C40C7" w:rsidP="009C40C7">
      <w:pPr>
        <w:spacing w:line="360" w:lineRule="auto"/>
        <w:ind w:firstLine="708"/>
        <w:jc w:val="both"/>
        <w:rPr>
          <w:sz w:val="28"/>
        </w:rPr>
      </w:pPr>
      <w:r w:rsidRPr="00FF737D">
        <w:rPr>
          <w:sz w:val="28"/>
        </w:rPr>
        <w:t xml:space="preserve">Для успешной реализации механизмов общественного участия и контроля, информирования широких кругов населения о формировании и исполнении </w:t>
      </w:r>
      <w:r w:rsidRPr="00FF737D">
        <w:rPr>
          <w:sz w:val="28"/>
        </w:rPr>
        <w:lastRenderedPageBreak/>
        <w:t xml:space="preserve">бюджета города </w:t>
      </w:r>
      <w:r>
        <w:rPr>
          <w:sz w:val="28"/>
        </w:rPr>
        <w:t>Пыть-Яха</w:t>
      </w:r>
      <w:r w:rsidRPr="00FF737D">
        <w:rPr>
          <w:sz w:val="28"/>
        </w:rPr>
        <w:t xml:space="preserve"> в течение года проводилась работа по обеспечению открытости бюджетного процесса. </w:t>
      </w:r>
    </w:p>
    <w:p w:rsidR="009C40C7" w:rsidRDefault="009C40C7" w:rsidP="009C40C7">
      <w:pPr>
        <w:spacing w:line="360" w:lineRule="auto"/>
        <w:ind w:firstLine="708"/>
        <w:jc w:val="both"/>
        <w:rPr>
          <w:sz w:val="28"/>
        </w:rPr>
      </w:pPr>
      <w:r w:rsidRPr="00FF737D">
        <w:rPr>
          <w:sz w:val="28"/>
        </w:rPr>
        <w:t xml:space="preserve">Информация о стадиях бюджетного процесса, о плановых показателях бюджета города и его исполнении размещается на официальном сайте </w:t>
      </w:r>
      <w:r>
        <w:rPr>
          <w:sz w:val="28"/>
        </w:rPr>
        <w:t>администрации</w:t>
      </w:r>
      <w:r w:rsidRPr="00FF737D">
        <w:rPr>
          <w:sz w:val="28"/>
        </w:rPr>
        <w:t xml:space="preserve"> города </w:t>
      </w:r>
      <w:r>
        <w:rPr>
          <w:sz w:val="28"/>
        </w:rPr>
        <w:t>Пыть-Яха в разделе «Открытый бюджет»</w:t>
      </w:r>
      <w:r w:rsidRPr="00FF737D">
        <w:rPr>
          <w:sz w:val="28"/>
        </w:rPr>
        <w:t>. Для горожан, не обладающих специальными знаниями в финансово-бюджетной сфере, информация размещается в доступной форме в виде информационного материала «Бюджет для граждан».</w:t>
      </w:r>
    </w:p>
    <w:p w:rsidR="009C40C7" w:rsidRDefault="009C40C7" w:rsidP="009C40C7">
      <w:pPr>
        <w:spacing w:line="360" w:lineRule="auto"/>
        <w:jc w:val="both"/>
        <w:rPr>
          <w:sz w:val="28"/>
        </w:rPr>
      </w:pPr>
    </w:p>
    <w:p w:rsidR="009C40C7" w:rsidRPr="00C132EA" w:rsidRDefault="009C40C7" w:rsidP="009C40C7">
      <w:pPr>
        <w:spacing w:line="360" w:lineRule="auto"/>
        <w:jc w:val="center"/>
        <w:rPr>
          <w:b/>
          <w:sz w:val="28"/>
        </w:rPr>
      </w:pPr>
      <w:r w:rsidRPr="00C132EA">
        <w:rPr>
          <w:b/>
          <w:sz w:val="28"/>
        </w:rPr>
        <w:t>Участи</w:t>
      </w:r>
      <w:r>
        <w:rPr>
          <w:b/>
          <w:sz w:val="28"/>
        </w:rPr>
        <w:t>е</w:t>
      </w:r>
      <w:r w:rsidRPr="00C132EA">
        <w:rPr>
          <w:b/>
          <w:sz w:val="28"/>
        </w:rPr>
        <w:t xml:space="preserve"> общественности муниципалитета в подготовке и принятии значимых для муниципалитета решений (инициативное бюджетирование)</w:t>
      </w:r>
    </w:p>
    <w:p w:rsidR="009C40C7" w:rsidRPr="00C132EA" w:rsidRDefault="009C40C7" w:rsidP="009C40C7">
      <w:pPr>
        <w:spacing w:line="360" w:lineRule="auto"/>
        <w:jc w:val="both"/>
        <w:rPr>
          <w:sz w:val="28"/>
        </w:rPr>
      </w:pPr>
    </w:p>
    <w:p w:rsidR="009C40C7" w:rsidRDefault="009C40C7" w:rsidP="009C40C7">
      <w:pPr>
        <w:spacing w:line="360" w:lineRule="auto"/>
        <w:ind w:firstLine="709"/>
        <w:jc w:val="both"/>
        <w:rPr>
          <w:sz w:val="28"/>
        </w:rPr>
      </w:pPr>
      <w:r w:rsidRPr="00FF737D">
        <w:rPr>
          <w:sz w:val="28"/>
        </w:rPr>
        <w:t>В соответствии со статьей 28 Федерального закона от 06.10.2003 № 131-ФЗ «Об общих принципах организации местного самоуправления в РФ» в обязательном порядке на публичные слушания выносятся проект местного бюджета и отчет о его исполнении.</w:t>
      </w:r>
    </w:p>
    <w:p w:rsidR="009C40C7" w:rsidRPr="00FF737D" w:rsidRDefault="009C40C7" w:rsidP="009C40C7">
      <w:pPr>
        <w:spacing w:line="360" w:lineRule="auto"/>
        <w:ind w:firstLine="709"/>
        <w:jc w:val="both"/>
        <w:rPr>
          <w:sz w:val="28"/>
        </w:rPr>
      </w:pPr>
      <w:r w:rsidRPr="00FF737D">
        <w:rPr>
          <w:sz w:val="28"/>
        </w:rPr>
        <w:t>Порядок организации и проведения публичных слушаний в муниципальном образовании городской округ город Пыть-Ях регламентируется решением Думы города Пыть-Яха от 03.03.2017 № 71.</w:t>
      </w:r>
    </w:p>
    <w:p w:rsidR="009C40C7" w:rsidRDefault="009C40C7" w:rsidP="009C40C7">
      <w:pPr>
        <w:spacing w:line="360" w:lineRule="auto"/>
        <w:ind w:firstLine="709"/>
        <w:jc w:val="both"/>
        <w:rPr>
          <w:sz w:val="28"/>
        </w:rPr>
      </w:pPr>
      <w:r>
        <w:rPr>
          <w:sz w:val="28"/>
        </w:rPr>
        <w:t xml:space="preserve">Публичные слушания </w:t>
      </w:r>
      <w:r w:rsidRPr="005E2E45">
        <w:rPr>
          <w:sz w:val="28"/>
        </w:rPr>
        <w:t>по проекту Решению Думы города Пыть-Яха «О бюджете города Пыть-Яха на 201</w:t>
      </w:r>
      <w:r>
        <w:rPr>
          <w:sz w:val="28"/>
        </w:rPr>
        <w:t>8</w:t>
      </w:r>
      <w:r w:rsidRPr="005E2E45">
        <w:rPr>
          <w:sz w:val="28"/>
        </w:rPr>
        <w:t xml:space="preserve"> год и плановый период 201</w:t>
      </w:r>
      <w:r>
        <w:rPr>
          <w:sz w:val="28"/>
        </w:rPr>
        <w:t>9</w:t>
      </w:r>
      <w:r w:rsidRPr="005E2E45">
        <w:rPr>
          <w:sz w:val="28"/>
        </w:rPr>
        <w:t xml:space="preserve"> и 20</w:t>
      </w:r>
      <w:r>
        <w:rPr>
          <w:sz w:val="28"/>
        </w:rPr>
        <w:t>20</w:t>
      </w:r>
      <w:r w:rsidRPr="005E2E45">
        <w:rPr>
          <w:sz w:val="28"/>
        </w:rPr>
        <w:t xml:space="preserve"> годов», назначены </w:t>
      </w:r>
      <w:r w:rsidRPr="00DC60A1">
        <w:rPr>
          <w:sz w:val="28"/>
        </w:rPr>
        <w:t>постановлением главы города Пыть-Яха от 15.11.2017 № 55-пг</w:t>
      </w:r>
      <w:r>
        <w:rPr>
          <w:sz w:val="28"/>
        </w:rPr>
        <w:t>.</w:t>
      </w:r>
      <w:r w:rsidRPr="005E2E45">
        <w:rPr>
          <w:sz w:val="28"/>
        </w:rPr>
        <w:t xml:space="preserve"> </w:t>
      </w:r>
      <w:r w:rsidRPr="00DC60A1">
        <w:rPr>
          <w:sz w:val="28"/>
        </w:rPr>
        <w:t>Публичные слушания проведены 4 декабря 2017 года. Зарегистрирован</w:t>
      </w:r>
      <w:r>
        <w:rPr>
          <w:sz w:val="28"/>
        </w:rPr>
        <w:t xml:space="preserve">о </w:t>
      </w:r>
      <w:r w:rsidRPr="00DC60A1">
        <w:rPr>
          <w:sz w:val="28"/>
        </w:rPr>
        <w:t>46 участников публичных слушаний.</w:t>
      </w:r>
      <w:r>
        <w:rPr>
          <w:sz w:val="28"/>
        </w:rPr>
        <w:t xml:space="preserve"> </w:t>
      </w:r>
      <w:r w:rsidRPr="00DC60A1">
        <w:rPr>
          <w:sz w:val="28"/>
        </w:rPr>
        <w:t>Заслушаны доклады по проекту решения Думы города «О бюджете города Пыть-Яха на 2018 год и плановый период 2019 и 2020 годов».</w:t>
      </w:r>
      <w:r>
        <w:rPr>
          <w:sz w:val="28"/>
        </w:rPr>
        <w:t xml:space="preserve"> </w:t>
      </w:r>
    </w:p>
    <w:p w:rsidR="009C40C7" w:rsidRPr="00FF737D" w:rsidRDefault="009C40C7" w:rsidP="009C40C7">
      <w:pPr>
        <w:spacing w:line="360" w:lineRule="auto"/>
        <w:ind w:firstLine="709"/>
        <w:jc w:val="both"/>
        <w:rPr>
          <w:sz w:val="28"/>
        </w:rPr>
      </w:pPr>
      <w:r w:rsidRPr="00DC60A1">
        <w:rPr>
          <w:sz w:val="28"/>
        </w:rPr>
        <w:t xml:space="preserve">Публичные слушания по проекту решения Думы города «Об исполнении бюджета города Пыть-Яха за 2017 год» назначены </w:t>
      </w:r>
      <w:r w:rsidRPr="00DC60A1">
        <w:rPr>
          <w:sz w:val="28"/>
          <w:szCs w:val="28"/>
        </w:rPr>
        <w:t>постановлением главы города от 28.03.2018 года № 12-пг</w:t>
      </w:r>
      <w:r w:rsidRPr="00DC60A1">
        <w:rPr>
          <w:sz w:val="28"/>
        </w:rPr>
        <w:t xml:space="preserve">. Публичные слушания проведены в 18-00 часов 20 </w:t>
      </w:r>
      <w:r w:rsidRPr="00DC60A1">
        <w:rPr>
          <w:sz w:val="28"/>
        </w:rPr>
        <w:lastRenderedPageBreak/>
        <w:t xml:space="preserve">апреля 2018 года, </w:t>
      </w:r>
      <w:r>
        <w:rPr>
          <w:sz w:val="28"/>
        </w:rPr>
        <w:t>24</w:t>
      </w:r>
      <w:r w:rsidRPr="00DC60A1">
        <w:rPr>
          <w:sz w:val="28"/>
        </w:rPr>
        <w:t xml:space="preserve"> горожан приняли участие в</w:t>
      </w:r>
      <w:r>
        <w:rPr>
          <w:sz w:val="28"/>
        </w:rPr>
        <w:t xml:space="preserve"> обсуждении вопросов по исполнению бюджета города за 2017 год.</w:t>
      </w:r>
    </w:p>
    <w:p w:rsidR="009C40C7" w:rsidRDefault="009C40C7" w:rsidP="009C40C7">
      <w:pPr>
        <w:spacing w:line="360" w:lineRule="auto"/>
        <w:ind w:firstLine="709"/>
        <w:jc w:val="both"/>
        <w:rPr>
          <w:sz w:val="28"/>
        </w:rPr>
      </w:pPr>
      <w:r w:rsidRPr="00C132EA">
        <w:rPr>
          <w:sz w:val="28"/>
        </w:rPr>
        <w:t xml:space="preserve">Муниципальное образование городской округ город Пыть-Ях с 2017 года начало применять практику по решению вопросов местного значения при непосредственном участии граждан в определении и выборе объектов расходования бюджетных средств, а также последующем контроле за реализацией отобранных проектов в рамках «Формирования комфортной городской среды». Первый опыт реализации инициативного бюджетирования был реализован в городе в мае 2017 года. </w:t>
      </w:r>
    </w:p>
    <w:p w:rsidR="009C40C7" w:rsidRDefault="009C40C7" w:rsidP="009C40C7">
      <w:pPr>
        <w:spacing w:line="360" w:lineRule="auto"/>
        <w:ind w:firstLine="709"/>
        <w:jc w:val="both"/>
        <w:rPr>
          <w:sz w:val="28"/>
        </w:rPr>
      </w:pPr>
      <w:r>
        <w:rPr>
          <w:sz w:val="28"/>
        </w:rPr>
        <w:t>В 2018 году в рамках реализации п</w:t>
      </w:r>
      <w:r w:rsidRPr="00B16BB9">
        <w:rPr>
          <w:sz w:val="28"/>
        </w:rPr>
        <w:t>риоритетн</w:t>
      </w:r>
      <w:r>
        <w:rPr>
          <w:sz w:val="28"/>
        </w:rPr>
        <w:t>ого</w:t>
      </w:r>
      <w:r w:rsidRPr="00B16BB9">
        <w:rPr>
          <w:sz w:val="28"/>
        </w:rPr>
        <w:t xml:space="preserve"> проект</w:t>
      </w:r>
      <w:r>
        <w:rPr>
          <w:sz w:val="28"/>
        </w:rPr>
        <w:t>а</w:t>
      </w:r>
      <w:r w:rsidRPr="00B16BB9">
        <w:rPr>
          <w:sz w:val="28"/>
        </w:rPr>
        <w:t xml:space="preserve"> </w:t>
      </w:r>
      <w:r>
        <w:rPr>
          <w:sz w:val="28"/>
        </w:rPr>
        <w:t>«</w:t>
      </w:r>
      <w:r w:rsidRPr="00B16BB9">
        <w:rPr>
          <w:sz w:val="28"/>
        </w:rPr>
        <w:t>Формиров</w:t>
      </w:r>
      <w:r>
        <w:rPr>
          <w:sz w:val="28"/>
        </w:rPr>
        <w:t>ание комфортной городской среды» п</w:t>
      </w:r>
      <w:r w:rsidRPr="00B16BB9">
        <w:rPr>
          <w:sz w:val="28"/>
        </w:rPr>
        <w:t>о итогам рейтингового голосования по проектам благоустройства общественных территорий муниципального образования городской округ город Пыть-Ях, подлежащих в первоочередном порядке благоустройству в 2018 году, проведенного 23.03.2018 была определена общественная территория – парк «Сказка» (1213 голосов)</w:t>
      </w:r>
      <w:r>
        <w:rPr>
          <w:sz w:val="28"/>
        </w:rPr>
        <w:t xml:space="preserve"> на эти цели из бюджета выделено 6,3 млн. рублей.</w:t>
      </w:r>
    </w:p>
    <w:p w:rsidR="009C40C7" w:rsidRDefault="009C40C7" w:rsidP="009C40C7">
      <w:pPr>
        <w:spacing w:line="360" w:lineRule="auto"/>
        <w:ind w:firstLine="709"/>
        <w:jc w:val="both"/>
        <w:rPr>
          <w:sz w:val="28"/>
        </w:rPr>
      </w:pPr>
      <w:r w:rsidRPr="00B16BB9">
        <w:rPr>
          <w:sz w:val="28"/>
        </w:rPr>
        <w:t>Перечень дворовых территорий, сформирован исходя из направленных заявок, от жителей города. Заявки были рассмотрены на общественной комиссии, и приняты о включении их в муниципальную программу.</w:t>
      </w:r>
      <w:r>
        <w:rPr>
          <w:sz w:val="28"/>
        </w:rPr>
        <w:t xml:space="preserve"> </w:t>
      </w:r>
      <w:r w:rsidRPr="00411E90">
        <w:rPr>
          <w:sz w:val="28"/>
        </w:rPr>
        <w:t>В 2018 году запланированы мероприятия по благоустрой</w:t>
      </w:r>
      <w:r>
        <w:rPr>
          <w:sz w:val="28"/>
        </w:rPr>
        <w:t>ству трех придомовых территорий на сумму 4,0 млн. рублей.</w:t>
      </w:r>
    </w:p>
    <w:p w:rsidR="009C40C7" w:rsidRPr="00411E90" w:rsidRDefault="009C40C7" w:rsidP="009C40C7">
      <w:pPr>
        <w:spacing w:line="360" w:lineRule="auto"/>
        <w:ind w:firstLine="709"/>
        <w:jc w:val="both"/>
        <w:rPr>
          <w:sz w:val="28"/>
        </w:rPr>
      </w:pPr>
      <w:r w:rsidRPr="00411E90">
        <w:rPr>
          <w:sz w:val="28"/>
        </w:rPr>
        <w:t xml:space="preserve">На территории муниципального образования городской округ город Пыть-Ях </w:t>
      </w:r>
      <w:r>
        <w:rPr>
          <w:sz w:val="28"/>
        </w:rPr>
        <w:t xml:space="preserve">в 2018 году </w:t>
      </w:r>
      <w:r w:rsidRPr="00411E90">
        <w:rPr>
          <w:sz w:val="28"/>
        </w:rPr>
        <w:t>реализован проект инициативного бюджетирования «Твоя инициатива-твой бюджет». Участие в проекте приняли 327 человек</w:t>
      </w:r>
      <w:r>
        <w:rPr>
          <w:sz w:val="28"/>
        </w:rPr>
        <w:t>. Инновации в том, что п</w:t>
      </w:r>
      <w:r w:rsidRPr="00411E90">
        <w:rPr>
          <w:sz w:val="28"/>
        </w:rPr>
        <w:t>оявля</w:t>
      </w:r>
      <w:r>
        <w:rPr>
          <w:sz w:val="28"/>
        </w:rPr>
        <w:t>ются</w:t>
      </w:r>
      <w:r w:rsidRPr="00411E90">
        <w:rPr>
          <w:sz w:val="28"/>
        </w:rPr>
        <w:t xml:space="preserve"> дополнительны</w:t>
      </w:r>
      <w:r>
        <w:rPr>
          <w:sz w:val="28"/>
        </w:rPr>
        <w:t>е</w:t>
      </w:r>
      <w:r w:rsidRPr="00411E90">
        <w:rPr>
          <w:sz w:val="28"/>
        </w:rPr>
        <w:t xml:space="preserve"> источник</w:t>
      </w:r>
      <w:r>
        <w:rPr>
          <w:sz w:val="28"/>
        </w:rPr>
        <w:t>и</w:t>
      </w:r>
      <w:r w:rsidRPr="00411E90">
        <w:rPr>
          <w:sz w:val="28"/>
        </w:rPr>
        <w:t xml:space="preserve"> финансирования для решения вопросов местного значения и альтернатива неработающему институту самообложения граждан</w:t>
      </w:r>
      <w:r>
        <w:rPr>
          <w:sz w:val="28"/>
        </w:rPr>
        <w:t xml:space="preserve">, </w:t>
      </w:r>
      <w:r w:rsidRPr="00411E90">
        <w:rPr>
          <w:sz w:val="28"/>
        </w:rPr>
        <w:t xml:space="preserve">сумма самообложения составила 2,1% от общей стоимости проекта или 100,9 тыс. рублей. </w:t>
      </w:r>
      <w:r>
        <w:rPr>
          <w:sz w:val="28"/>
        </w:rPr>
        <w:t xml:space="preserve">Кроме того, </w:t>
      </w:r>
      <w:r w:rsidRPr="00C132EA">
        <w:rPr>
          <w:sz w:val="28"/>
        </w:rPr>
        <w:t>применён так называемый трудовой ресурс</w:t>
      </w:r>
      <w:r w:rsidRPr="00411E90">
        <w:rPr>
          <w:sz w:val="28"/>
        </w:rPr>
        <w:t xml:space="preserve"> </w:t>
      </w:r>
      <w:r>
        <w:rPr>
          <w:sz w:val="28"/>
        </w:rPr>
        <w:t>(трудовое участи граждан в реализации проекта). В целом на р</w:t>
      </w:r>
      <w:r w:rsidRPr="00C942AD">
        <w:rPr>
          <w:sz w:val="28"/>
        </w:rPr>
        <w:t>еконструкци</w:t>
      </w:r>
      <w:r>
        <w:rPr>
          <w:sz w:val="28"/>
        </w:rPr>
        <w:t>ю</w:t>
      </w:r>
      <w:r w:rsidRPr="00C942AD">
        <w:rPr>
          <w:sz w:val="28"/>
        </w:rPr>
        <w:t xml:space="preserve"> асфальтового покрытия, устройство тротуаров, проездов на общей придомовой </w:t>
      </w:r>
      <w:r w:rsidRPr="00C942AD">
        <w:rPr>
          <w:sz w:val="28"/>
        </w:rPr>
        <w:lastRenderedPageBreak/>
        <w:t>территории МКД №1,2,2а,3,4 в 5 микрорайоне "Солнечный"</w:t>
      </w:r>
      <w:r>
        <w:rPr>
          <w:sz w:val="28"/>
        </w:rPr>
        <w:t xml:space="preserve"> направлено 4,8 млн. рублей, в том числе из бюджета города 4,7 млн. рублей. Достигнутый экономический эффект в том, что г</w:t>
      </w:r>
      <w:r w:rsidRPr="00411E90">
        <w:rPr>
          <w:sz w:val="28"/>
        </w:rPr>
        <w:t>раждане самостоятельно определяют приоритетные проекты, решающих наиболее острые проблемы города, выбранные самими гражданами, как инструмент</w:t>
      </w:r>
      <w:r>
        <w:rPr>
          <w:sz w:val="28"/>
        </w:rPr>
        <w:t xml:space="preserve"> оптимизации бюджетных расходов. С</w:t>
      </w:r>
      <w:r w:rsidRPr="00411E90">
        <w:rPr>
          <w:sz w:val="28"/>
        </w:rPr>
        <w:t>оциальный эффект</w:t>
      </w:r>
      <w:r>
        <w:rPr>
          <w:sz w:val="28"/>
        </w:rPr>
        <w:t xml:space="preserve"> заключается в</w:t>
      </w:r>
      <w:r w:rsidRPr="00411E90">
        <w:rPr>
          <w:sz w:val="28"/>
        </w:rPr>
        <w:t xml:space="preserve"> вовлечение граждан в решение вопросов местного самоуправления совместно </w:t>
      </w:r>
      <w:r>
        <w:rPr>
          <w:sz w:val="28"/>
        </w:rPr>
        <w:t>с органами муниципальной власти.</w:t>
      </w:r>
    </w:p>
    <w:p w:rsidR="009C40C7" w:rsidRPr="00C132EA" w:rsidRDefault="009C40C7" w:rsidP="009C40C7">
      <w:pPr>
        <w:spacing w:line="360" w:lineRule="auto"/>
        <w:ind w:firstLine="709"/>
        <w:jc w:val="both"/>
        <w:rPr>
          <w:sz w:val="28"/>
        </w:rPr>
      </w:pPr>
      <w:r w:rsidRPr="00C132EA">
        <w:rPr>
          <w:sz w:val="28"/>
        </w:rPr>
        <w:t>При разработке проекта бюджета города Пыть-Яха на 201</w:t>
      </w:r>
      <w:r>
        <w:rPr>
          <w:sz w:val="28"/>
        </w:rPr>
        <w:t>9</w:t>
      </w:r>
      <w:r w:rsidRPr="00C132EA">
        <w:rPr>
          <w:sz w:val="28"/>
        </w:rPr>
        <w:t xml:space="preserve"> год и плановый период </w:t>
      </w:r>
      <w:r>
        <w:rPr>
          <w:sz w:val="28"/>
        </w:rPr>
        <w:t>2020 и 2021 годов</w:t>
      </w:r>
      <w:r w:rsidRPr="00C132EA">
        <w:rPr>
          <w:sz w:val="28"/>
        </w:rPr>
        <w:t xml:space="preserve"> годы на внедрение проектов инициативного бюджетирования, в соответствии с принятым постановлением администрации города от 26.09.2017 года № 237-па «О конкурсном отборе проектов инициативного бюджетирования «Твоя инициатива-твой бюджет» в муниципальном образовании городской округ город Пыть-Ях», запланировано по </w:t>
      </w:r>
      <w:r>
        <w:rPr>
          <w:sz w:val="28"/>
        </w:rPr>
        <w:t xml:space="preserve">5,0 млн рублей </w:t>
      </w:r>
      <w:r w:rsidRPr="00C132EA">
        <w:rPr>
          <w:sz w:val="28"/>
        </w:rPr>
        <w:t>ежегодно.</w:t>
      </w:r>
    </w:p>
    <w:p w:rsidR="009C40C7" w:rsidRDefault="009C40C7" w:rsidP="009C40C7">
      <w:pPr>
        <w:spacing w:line="360" w:lineRule="auto"/>
        <w:ind w:firstLine="709"/>
        <w:jc w:val="both"/>
        <w:rPr>
          <w:sz w:val="28"/>
        </w:rPr>
      </w:pPr>
      <w:r w:rsidRPr="00C132EA">
        <w:rPr>
          <w:sz w:val="28"/>
        </w:rPr>
        <w:t>В конкурсном отборе могут быть представлены проекты в различных сферах, но в приоритете остаётся благоустройство территорий, озеленение дворов и площадей, уличное освещение и прочее.</w:t>
      </w:r>
    </w:p>
    <w:p w:rsidR="000429ED" w:rsidRDefault="000429ED" w:rsidP="000429ED">
      <w:pPr>
        <w:ind w:left="360"/>
        <w:rPr>
          <w:b/>
          <w:sz w:val="26"/>
          <w:szCs w:val="26"/>
        </w:rPr>
      </w:pPr>
    </w:p>
    <w:p w:rsidR="003A34B7" w:rsidRPr="009E7FE7" w:rsidRDefault="003A34B7" w:rsidP="000429ED">
      <w:pPr>
        <w:autoSpaceDE w:val="0"/>
        <w:autoSpaceDN w:val="0"/>
        <w:adjustRightInd w:val="0"/>
        <w:spacing w:line="360" w:lineRule="auto"/>
        <w:ind w:firstLine="720"/>
        <w:jc w:val="both"/>
        <w:rPr>
          <w:b/>
          <w:sz w:val="28"/>
          <w:szCs w:val="28"/>
        </w:rPr>
      </w:pPr>
      <w:r w:rsidRPr="009E7FE7">
        <w:rPr>
          <w:b/>
          <w:sz w:val="28"/>
          <w:szCs w:val="28"/>
        </w:rPr>
        <w:t>Задача 3 "Обеспечение своевременного контроля в финансово-бюджетной сфере".</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Решение задачи реализуется посредством осуществления контроля:</w:t>
      </w:r>
    </w:p>
    <w:p w:rsidR="003A34B7" w:rsidRPr="009E7FE7" w:rsidRDefault="003A34B7" w:rsidP="003A34B7">
      <w:pPr>
        <w:pStyle w:val="1"/>
        <w:widowControl w:val="0"/>
        <w:numPr>
          <w:ilvl w:val="0"/>
          <w:numId w:val="4"/>
        </w:numPr>
        <w:autoSpaceDE w:val="0"/>
        <w:autoSpaceDN w:val="0"/>
        <w:adjustRightInd w:val="0"/>
        <w:spacing w:after="0" w:line="360" w:lineRule="auto"/>
        <w:ind w:left="0" w:firstLine="709"/>
        <w:contextualSpacing/>
        <w:jc w:val="both"/>
        <w:rPr>
          <w:rFonts w:ascii="Times New Roman" w:hAnsi="Times New Roman" w:cs="Times New Roman"/>
          <w:b/>
          <w:i/>
          <w:sz w:val="28"/>
          <w:szCs w:val="28"/>
        </w:rPr>
      </w:pPr>
      <w:r w:rsidRPr="009E7FE7">
        <w:rPr>
          <w:rFonts w:ascii="Times New Roman" w:hAnsi="Times New Roman" w:cs="Times New Roman"/>
          <w:b/>
          <w:i/>
          <w:sz w:val="28"/>
          <w:szCs w:val="28"/>
        </w:rPr>
        <w:t>за операциями с бюджетными средствами получателей средств бюджета городского округа, средствами администраторов источников финансирования дефицита бюджета городского округа.</w:t>
      </w:r>
    </w:p>
    <w:p w:rsidR="003A34B7" w:rsidRPr="009E7FE7" w:rsidRDefault="003A34B7" w:rsidP="003A34B7">
      <w:pPr>
        <w:pStyle w:val="1"/>
        <w:widowControl w:val="0"/>
        <w:spacing w:after="0" w:line="360" w:lineRule="auto"/>
        <w:ind w:left="0" w:firstLine="709"/>
        <w:jc w:val="both"/>
        <w:rPr>
          <w:rFonts w:ascii="Times New Roman" w:hAnsi="Times New Roman" w:cs="Times New Roman"/>
          <w:sz w:val="28"/>
          <w:szCs w:val="28"/>
        </w:rPr>
      </w:pPr>
      <w:r w:rsidRPr="009E7FE7">
        <w:rPr>
          <w:rFonts w:ascii="Times New Roman" w:hAnsi="Times New Roman" w:cs="Times New Roman"/>
          <w:sz w:val="28"/>
          <w:szCs w:val="28"/>
        </w:rPr>
        <w:t xml:space="preserve">В рамках данного мероприятия комитетом по финансам осуществляется проверка расчетных документов, представленных главными распорядителями бюджетных средств и главными администраторами источников финансирования дефицита бюджета в соответствии с Регламентом обмена расчетными документами с клиентами при открытии и ведении лицевых счетов по исполнению бюджета городского округа комитетом по финансам. Расчетные документы проверяются на предмет наличия достаточного остатка лимита бюджетных ассигнований, остатка </w:t>
      </w:r>
      <w:r w:rsidRPr="009E7FE7">
        <w:rPr>
          <w:rFonts w:ascii="Times New Roman" w:hAnsi="Times New Roman" w:cs="Times New Roman"/>
          <w:sz w:val="28"/>
          <w:szCs w:val="28"/>
        </w:rPr>
        <w:lastRenderedPageBreak/>
        <w:t xml:space="preserve">по конкретному бюджетному обязательству, соблюдения установленных правил расчетов, </w:t>
      </w:r>
      <w:r w:rsidR="009E7FE7" w:rsidRPr="009E7FE7">
        <w:rPr>
          <w:rFonts w:ascii="Times New Roman" w:hAnsi="Times New Roman" w:cs="Times New Roman"/>
          <w:sz w:val="28"/>
          <w:szCs w:val="28"/>
        </w:rPr>
        <w:t>правильности,</w:t>
      </w:r>
      <w:r w:rsidRPr="009E7FE7">
        <w:rPr>
          <w:rFonts w:ascii="Times New Roman" w:hAnsi="Times New Roman" w:cs="Times New Roman"/>
          <w:sz w:val="28"/>
          <w:szCs w:val="28"/>
        </w:rPr>
        <w:t xml:space="preserve"> указанных в расчетных документах реквизитов.</w:t>
      </w:r>
    </w:p>
    <w:p w:rsidR="003A34B7" w:rsidRPr="009E7FE7" w:rsidRDefault="003A34B7" w:rsidP="003A34B7">
      <w:pPr>
        <w:pStyle w:val="listparagraphcxsplast"/>
        <w:widowControl w:val="0"/>
        <w:numPr>
          <w:ilvl w:val="0"/>
          <w:numId w:val="4"/>
        </w:numPr>
        <w:autoSpaceDE w:val="0"/>
        <w:autoSpaceDN w:val="0"/>
        <w:adjustRightInd w:val="0"/>
        <w:spacing w:before="0" w:after="0" w:line="360" w:lineRule="auto"/>
        <w:ind w:left="0" w:firstLine="709"/>
        <w:contextualSpacing/>
        <w:jc w:val="both"/>
        <w:rPr>
          <w:rFonts w:ascii="Times New Roman" w:hAnsi="Times New Roman" w:cs="Times New Roman"/>
          <w:b/>
          <w:i/>
          <w:sz w:val="28"/>
          <w:szCs w:val="28"/>
        </w:rPr>
      </w:pPr>
      <w:r w:rsidRPr="009E7FE7">
        <w:rPr>
          <w:rFonts w:ascii="Times New Roman" w:hAnsi="Times New Roman" w:cs="Times New Roman"/>
          <w:sz w:val="28"/>
          <w:szCs w:val="28"/>
        </w:rPr>
        <w:t xml:space="preserve">Осуществляется проверка расчетных документов, представленных главными распорядителями бюджетных средств и главными администраторами источников финансирования дефицита бюджета и санкционирование оплаты денежных обязательств получателей средств бюджета городского округа и главных администраторов источников финансирования дефицита </w:t>
      </w:r>
    </w:p>
    <w:p w:rsidR="003A34B7" w:rsidRPr="009E7FE7" w:rsidRDefault="00676C9C" w:rsidP="003A34B7">
      <w:pPr>
        <w:widowControl w:val="0"/>
        <w:autoSpaceDE w:val="0"/>
        <w:autoSpaceDN w:val="0"/>
        <w:adjustRightInd w:val="0"/>
        <w:spacing w:line="360" w:lineRule="auto"/>
        <w:ind w:firstLine="709"/>
        <w:jc w:val="both"/>
        <w:rPr>
          <w:b/>
          <w:sz w:val="28"/>
          <w:szCs w:val="28"/>
        </w:rPr>
      </w:pPr>
      <w:hyperlink r:id="rId12" w:anchor="Par988#Par988" w:history="1">
        <w:r w:rsidR="003A34B7" w:rsidRPr="009E7FE7">
          <w:rPr>
            <w:rStyle w:val="a5"/>
            <w:b/>
            <w:color w:val="auto"/>
            <w:sz w:val="28"/>
            <w:szCs w:val="28"/>
          </w:rPr>
          <w:t>Подпрограмма II</w:t>
        </w:r>
      </w:hyperlink>
      <w:r w:rsidR="003A34B7" w:rsidRPr="009E7FE7">
        <w:rPr>
          <w:b/>
          <w:sz w:val="28"/>
          <w:szCs w:val="28"/>
        </w:rPr>
        <w:t xml:space="preserve"> "Управление муниципальным долгом ".</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Данная подпрограмма направлена на эффективное управление муниципальным долгом городского округа, выплате процентных платежей по муниципальному долгу городского округа.</w:t>
      </w:r>
    </w:p>
    <w:p w:rsidR="000429ED" w:rsidRDefault="000429ED" w:rsidP="000429ED">
      <w:pPr>
        <w:spacing w:line="360" w:lineRule="auto"/>
        <w:ind w:firstLine="708"/>
        <w:jc w:val="both"/>
        <w:rPr>
          <w:sz w:val="28"/>
          <w:szCs w:val="28"/>
        </w:rPr>
      </w:pPr>
      <w:r>
        <w:rPr>
          <w:sz w:val="28"/>
          <w:szCs w:val="28"/>
        </w:rPr>
        <w:t>По состоянию на 01.01.201</w:t>
      </w:r>
      <w:r w:rsidR="00F60515">
        <w:rPr>
          <w:sz w:val="28"/>
          <w:szCs w:val="28"/>
        </w:rPr>
        <w:t>9</w:t>
      </w:r>
      <w:r>
        <w:rPr>
          <w:sz w:val="28"/>
          <w:szCs w:val="28"/>
        </w:rPr>
        <w:t xml:space="preserve"> года объем муниципального долга составляет </w:t>
      </w:r>
      <w:r w:rsidR="00F60515">
        <w:rPr>
          <w:sz w:val="28"/>
          <w:szCs w:val="28"/>
        </w:rPr>
        <w:t>176,3</w:t>
      </w:r>
      <w:r>
        <w:rPr>
          <w:sz w:val="28"/>
          <w:szCs w:val="28"/>
        </w:rPr>
        <w:t xml:space="preserve"> млн. руб. В области долговой политики работа администрации города направлена на минимизацию долговой нагрузки и сокращение расходов на обслуживание муниципального долга. Муниципальные правовые акты, устанавливающие порядок предоставления муниципальных гарантий:</w:t>
      </w:r>
    </w:p>
    <w:p w:rsidR="000429ED" w:rsidRDefault="000429ED" w:rsidP="000429ED">
      <w:pPr>
        <w:spacing w:line="360" w:lineRule="auto"/>
        <w:jc w:val="both"/>
        <w:rPr>
          <w:sz w:val="28"/>
          <w:szCs w:val="28"/>
        </w:rPr>
      </w:pPr>
      <w:r>
        <w:rPr>
          <w:sz w:val="28"/>
          <w:szCs w:val="28"/>
        </w:rPr>
        <w:t>-</w:t>
      </w:r>
      <w:r>
        <w:rPr>
          <w:sz w:val="28"/>
          <w:szCs w:val="28"/>
        </w:rPr>
        <w:tab/>
        <w:t>решение Думы города от 26.09.2013 № 225 «Об утверждении порядка предоставления юридическим лицам муниципальных гарантий муниципального образования городской округ город Пыть-Ях»;</w:t>
      </w:r>
    </w:p>
    <w:p w:rsidR="000429ED" w:rsidRDefault="000429ED" w:rsidP="000429ED">
      <w:pPr>
        <w:spacing w:line="360" w:lineRule="auto"/>
        <w:jc w:val="both"/>
        <w:rPr>
          <w:sz w:val="28"/>
          <w:szCs w:val="28"/>
        </w:rPr>
      </w:pPr>
      <w:r>
        <w:rPr>
          <w:sz w:val="28"/>
          <w:szCs w:val="28"/>
        </w:rPr>
        <w:t>-</w:t>
      </w:r>
      <w:r>
        <w:rPr>
          <w:sz w:val="28"/>
          <w:szCs w:val="28"/>
        </w:rPr>
        <w:tab/>
        <w:t xml:space="preserve">постановление администрации города от 27.11.2013 № 326-па «О реализации порядка предоставления юридическим лицам муниципальных гарантий муниципального образования городской округ город Пыть-Ях». </w:t>
      </w:r>
    </w:p>
    <w:p w:rsidR="003A34B7" w:rsidRPr="009E7FE7" w:rsidRDefault="003A34B7" w:rsidP="003A34B7">
      <w:pPr>
        <w:widowControl w:val="0"/>
        <w:autoSpaceDE w:val="0"/>
        <w:autoSpaceDN w:val="0"/>
        <w:adjustRightInd w:val="0"/>
        <w:spacing w:line="360" w:lineRule="auto"/>
        <w:ind w:firstLine="709"/>
        <w:jc w:val="both"/>
        <w:rPr>
          <w:b/>
          <w:sz w:val="28"/>
          <w:szCs w:val="28"/>
        </w:rPr>
      </w:pPr>
      <w:r w:rsidRPr="009E7FE7">
        <w:rPr>
          <w:b/>
          <w:sz w:val="28"/>
          <w:szCs w:val="28"/>
        </w:rPr>
        <w:t>1.</w:t>
      </w:r>
      <w:r w:rsidRPr="009E7FE7">
        <w:rPr>
          <w:sz w:val="28"/>
          <w:szCs w:val="28"/>
        </w:rPr>
        <w:t xml:space="preserve"> </w:t>
      </w:r>
      <w:r w:rsidRPr="009E7FE7">
        <w:rPr>
          <w:b/>
          <w:sz w:val="28"/>
          <w:szCs w:val="28"/>
        </w:rPr>
        <w:t xml:space="preserve">Обслуживание </w:t>
      </w:r>
      <w:r w:rsidR="009E7FE7" w:rsidRPr="009E7FE7">
        <w:rPr>
          <w:b/>
          <w:sz w:val="28"/>
          <w:szCs w:val="28"/>
        </w:rPr>
        <w:t>муниципального долга</w:t>
      </w:r>
      <w:r w:rsidRPr="009E7FE7">
        <w:rPr>
          <w:b/>
          <w:sz w:val="28"/>
          <w:szCs w:val="28"/>
        </w:rPr>
        <w:t xml:space="preserve"> городского округа.</w:t>
      </w:r>
    </w:p>
    <w:p w:rsidR="00F60515"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Данное мероприятие предполагает планирование расходов бюджета городского округа в объеме, необходимом для полного и своевременного исполнения обязательств городского округа.</w:t>
      </w:r>
      <w:r w:rsidR="00442CAB" w:rsidRPr="009E7FE7">
        <w:rPr>
          <w:sz w:val="28"/>
          <w:szCs w:val="28"/>
        </w:rPr>
        <w:t xml:space="preserve"> Расходы за 201</w:t>
      </w:r>
      <w:r w:rsidR="00F60515">
        <w:rPr>
          <w:sz w:val="28"/>
          <w:szCs w:val="28"/>
        </w:rPr>
        <w:t>8</w:t>
      </w:r>
      <w:r w:rsidR="00442CAB" w:rsidRPr="009E7FE7">
        <w:rPr>
          <w:sz w:val="28"/>
          <w:szCs w:val="28"/>
        </w:rPr>
        <w:t xml:space="preserve"> год по обслуживанию муниципального долга составили 100% от плановых назначений. </w:t>
      </w:r>
    </w:p>
    <w:p w:rsidR="003A34B7" w:rsidRPr="009E7FE7" w:rsidRDefault="003A34B7" w:rsidP="003A34B7">
      <w:pPr>
        <w:widowControl w:val="0"/>
        <w:autoSpaceDE w:val="0"/>
        <w:autoSpaceDN w:val="0"/>
        <w:adjustRightInd w:val="0"/>
        <w:spacing w:line="360" w:lineRule="auto"/>
        <w:ind w:firstLine="709"/>
        <w:jc w:val="both"/>
        <w:rPr>
          <w:b/>
          <w:sz w:val="28"/>
          <w:szCs w:val="28"/>
        </w:rPr>
      </w:pPr>
      <w:r w:rsidRPr="009E7FE7">
        <w:rPr>
          <w:b/>
          <w:sz w:val="28"/>
          <w:szCs w:val="28"/>
        </w:rPr>
        <w:t>2.</w:t>
      </w:r>
      <w:r w:rsidRPr="009E7FE7">
        <w:rPr>
          <w:sz w:val="28"/>
          <w:szCs w:val="28"/>
        </w:rPr>
        <w:t xml:space="preserve"> </w:t>
      </w:r>
      <w:r w:rsidRPr="009E7FE7">
        <w:rPr>
          <w:b/>
          <w:sz w:val="28"/>
          <w:szCs w:val="28"/>
        </w:rPr>
        <w:t>Планирование ассигнований на погашение долговых обязательств городского округа.</w:t>
      </w:r>
    </w:p>
    <w:p w:rsidR="00442CAB" w:rsidRPr="009E7FE7" w:rsidRDefault="00442CAB" w:rsidP="003A34B7">
      <w:pPr>
        <w:widowControl w:val="0"/>
        <w:autoSpaceDE w:val="0"/>
        <w:autoSpaceDN w:val="0"/>
        <w:adjustRightInd w:val="0"/>
        <w:spacing w:line="360" w:lineRule="auto"/>
        <w:ind w:firstLine="709"/>
        <w:jc w:val="both"/>
        <w:rPr>
          <w:sz w:val="28"/>
          <w:szCs w:val="28"/>
        </w:rPr>
      </w:pPr>
      <w:r w:rsidRPr="009E7FE7">
        <w:rPr>
          <w:sz w:val="28"/>
          <w:szCs w:val="28"/>
        </w:rPr>
        <w:t xml:space="preserve">Данное мероприятие предусматривает планирование бюджетных </w:t>
      </w:r>
      <w:r w:rsidRPr="009E7FE7">
        <w:rPr>
          <w:sz w:val="28"/>
          <w:szCs w:val="28"/>
        </w:rPr>
        <w:lastRenderedPageBreak/>
        <w:t xml:space="preserve">ассигнований в бюджете города на исполнение долговых обязательств муниципального образования в объеме, достаточном для безусловного исполнения долговых обязательств муниципального образования, в полном объеме и в установленный срок. Утверждена методика планирования долговых обязательств муниципального образования городской округ город Пыть-Ях и определения долговой нагрузки на бюджет города (постановление от 02.04.2015 №89-па). В целях обеспечения сбалансированности и устойчивости бюджета города распоряжением </w:t>
      </w:r>
      <w:r w:rsidR="008A4477">
        <w:rPr>
          <w:sz w:val="28"/>
          <w:szCs w:val="28"/>
        </w:rPr>
        <w:t>218</w:t>
      </w:r>
      <w:r w:rsidRPr="009E7FE7">
        <w:rPr>
          <w:sz w:val="28"/>
          <w:szCs w:val="28"/>
        </w:rPr>
        <w:t xml:space="preserve">-ра от </w:t>
      </w:r>
      <w:r w:rsidR="008A4477">
        <w:rPr>
          <w:sz w:val="28"/>
          <w:szCs w:val="28"/>
        </w:rPr>
        <w:t>06</w:t>
      </w:r>
      <w:r w:rsidRPr="009E7FE7">
        <w:rPr>
          <w:sz w:val="28"/>
          <w:szCs w:val="28"/>
        </w:rPr>
        <w:t>.02.201</w:t>
      </w:r>
      <w:r w:rsidR="008A4477">
        <w:rPr>
          <w:sz w:val="28"/>
          <w:szCs w:val="28"/>
        </w:rPr>
        <w:t>7</w:t>
      </w:r>
      <w:r w:rsidRPr="009E7FE7">
        <w:rPr>
          <w:sz w:val="28"/>
          <w:szCs w:val="28"/>
        </w:rPr>
        <w:t xml:space="preserve"> </w:t>
      </w:r>
      <w:r w:rsidR="009E7FE7" w:rsidRPr="009E7FE7">
        <w:rPr>
          <w:sz w:val="28"/>
          <w:szCs w:val="28"/>
        </w:rPr>
        <w:t>года утверждён</w:t>
      </w:r>
      <w:r w:rsidRPr="009E7FE7">
        <w:rPr>
          <w:sz w:val="28"/>
          <w:szCs w:val="28"/>
        </w:rPr>
        <w:t xml:space="preserve"> План мероприятий по </w:t>
      </w:r>
      <w:r w:rsidR="008A4477">
        <w:rPr>
          <w:sz w:val="28"/>
          <w:szCs w:val="28"/>
        </w:rPr>
        <w:t>снижению</w:t>
      </w:r>
      <w:r w:rsidRPr="009E7FE7">
        <w:rPr>
          <w:sz w:val="28"/>
          <w:szCs w:val="28"/>
        </w:rPr>
        <w:t xml:space="preserve"> долговой нагрузки на бюджет муниципального образования городской округ город Пыть-Ях на 201</w:t>
      </w:r>
      <w:r w:rsidR="008A4477">
        <w:rPr>
          <w:sz w:val="28"/>
          <w:szCs w:val="28"/>
        </w:rPr>
        <w:t>7</w:t>
      </w:r>
      <w:r w:rsidRPr="009E7FE7">
        <w:rPr>
          <w:sz w:val="28"/>
          <w:szCs w:val="28"/>
        </w:rPr>
        <w:t>-201</w:t>
      </w:r>
      <w:r w:rsidR="008A4477">
        <w:rPr>
          <w:sz w:val="28"/>
          <w:szCs w:val="28"/>
        </w:rPr>
        <w:t>9</w:t>
      </w:r>
      <w:r w:rsidRPr="009E7FE7">
        <w:rPr>
          <w:sz w:val="28"/>
          <w:szCs w:val="28"/>
        </w:rPr>
        <w:t xml:space="preserve"> годы.</w:t>
      </w:r>
    </w:p>
    <w:p w:rsidR="003A34B7" w:rsidRPr="009E7FE7" w:rsidRDefault="003A34B7" w:rsidP="003A34B7">
      <w:pPr>
        <w:widowControl w:val="0"/>
        <w:autoSpaceDE w:val="0"/>
        <w:autoSpaceDN w:val="0"/>
        <w:adjustRightInd w:val="0"/>
        <w:spacing w:line="360" w:lineRule="auto"/>
        <w:ind w:firstLine="709"/>
        <w:jc w:val="both"/>
        <w:rPr>
          <w:b/>
          <w:sz w:val="28"/>
          <w:szCs w:val="28"/>
        </w:rPr>
      </w:pPr>
      <w:r w:rsidRPr="009E7FE7">
        <w:rPr>
          <w:b/>
          <w:sz w:val="28"/>
          <w:szCs w:val="28"/>
        </w:rPr>
        <w:t>3.</w:t>
      </w:r>
      <w:r w:rsidRPr="009E7FE7">
        <w:rPr>
          <w:sz w:val="28"/>
          <w:szCs w:val="28"/>
        </w:rPr>
        <w:t xml:space="preserve"> </w:t>
      </w:r>
      <w:r w:rsidRPr="009E7FE7">
        <w:rPr>
          <w:b/>
          <w:sz w:val="28"/>
          <w:szCs w:val="28"/>
        </w:rPr>
        <w:t>Планирование ассигнований на исполнение муниципальных гарантий городского округа.</w:t>
      </w:r>
    </w:p>
    <w:p w:rsidR="00442CAB" w:rsidRPr="009E7FE7" w:rsidRDefault="00442CAB" w:rsidP="003A34B7">
      <w:pPr>
        <w:widowControl w:val="0"/>
        <w:autoSpaceDE w:val="0"/>
        <w:autoSpaceDN w:val="0"/>
        <w:adjustRightInd w:val="0"/>
        <w:spacing w:line="360" w:lineRule="auto"/>
        <w:ind w:firstLine="709"/>
        <w:jc w:val="both"/>
        <w:rPr>
          <w:sz w:val="28"/>
          <w:szCs w:val="28"/>
        </w:rPr>
      </w:pPr>
      <w:r w:rsidRPr="009E7FE7">
        <w:rPr>
          <w:sz w:val="28"/>
          <w:szCs w:val="28"/>
        </w:rPr>
        <w:t xml:space="preserve">Данное мероприятие предусматривает планирование бюджетных ассигнований в бюджете города на исполнение муниципальных гарантий в объеме, достаточном для исполнения долговых обязательств муниципального образования, по предоставленным </w:t>
      </w:r>
      <w:r w:rsidR="009E7FE7" w:rsidRPr="009E7FE7">
        <w:rPr>
          <w:sz w:val="28"/>
          <w:szCs w:val="28"/>
        </w:rPr>
        <w:t>муниципальным гарантиям</w:t>
      </w:r>
      <w:r w:rsidRPr="009E7FE7">
        <w:rPr>
          <w:sz w:val="28"/>
          <w:szCs w:val="28"/>
        </w:rPr>
        <w:t xml:space="preserve">. Постановлением 326-па от 27.11.2013 года утверждён порядок предоставления юридическим лицам муниципальных гарантий муниципального образования городской округ город Пыть-Ях. Бюджетные ассигнования на исполнение муниципальных гарантий </w:t>
      </w:r>
      <w:r w:rsidR="008A4477">
        <w:rPr>
          <w:sz w:val="28"/>
          <w:szCs w:val="28"/>
        </w:rPr>
        <w:t>исполнены на 100%</w:t>
      </w:r>
      <w:r w:rsidRPr="009E7FE7">
        <w:rPr>
          <w:sz w:val="28"/>
          <w:szCs w:val="28"/>
        </w:rPr>
        <w:t>.</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b/>
          <w:sz w:val="28"/>
          <w:szCs w:val="28"/>
        </w:rPr>
        <w:t>4. Мониторинг состояния муниципального долга.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 xml:space="preserve">Комитет по финансам ежемесячно осуществлял мониторинг состояния муниципального долга по плановым и фактическим показателям на предмет соблюдения норм Бюджетного кодекса Российской Федерации. Обзор </w:t>
      </w:r>
      <w:r w:rsidR="009E7FE7" w:rsidRPr="009E7FE7">
        <w:rPr>
          <w:sz w:val="28"/>
          <w:szCs w:val="28"/>
        </w:rPr>
        <w:t>мониторинга требований</w:t>
      </w:r>
      <w:r w:rsidRPr="009E7FE7">
        <w:rPr>
          <w:sz w:val="28"/>
          <w:szCs w:val="28"/>
        </w:rPr>
        <w:t xml:space="preserve"> Бюджетного Кодекса Российской </w:t>
      </w:r>
      <w:r w:rsidR="009E7FE7" w:rsidRPr="009E7FE7">
        <w:rPr>
          <w:sz w:val="28"/>
          <w:szCs w:val="28"/>
        </w:rPr>
        <w:t>Федерации размещается</w:t>
      </w:r>
      <w:r w:rsidRPr="009E7FE7">
        <w:rPr>
          <w:sz w:val="28"/>
          <w:szCs w:val="28"/>
        </w:rPr>
        <w:t xml:space="preserve"> на сайте Администрации </w:t>
      </w:r>
      <w:r w:rsidR="009E7FE7" w:rsidRPr="009E7FE7">
        <w:rPr>
          <w:sz w:val="28"/>
          <w:szCs w:val="28"/>
        </w:rPr>
        <w:t>города.</w:t>
      </w:r>
      <w:r w:rsidRPr="009E7FE7">
        <w:rPr>
          <w:sz w:val="28"/>
          <w:szCs w:val="28"/>
        </w:rPr>
        <w:t xml:space="preserve"> </w:t>
      </w:r>
    </w:p>
    <w:p w:rsidR="003A34B7" w:rsidRPr="009E7FE7" w:rsidRDefault="003A34B7">
      <w:pPr>
        <w:rPr>
          <w:sz w:val="28"/>
          <w:szCs w:val="28"/>
        </w:rPr>
      </w:pPr>
    </w:p>
    <w:sectPr w:rsidR="003A34B7" w:rsidRPr="009E7FE7" w:rsidSect="000A324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7595"/>
    <w:multiLevelType w:val="hybridMultilevel"/>
    <w:tmpl w:val="2D56B42A"/>
    <w:lvl w:ilvl="0" w:tplc="CC1E16EC">
      <w:start w:val="1"/>
      <w:numFmt w:val="bullet"/>
      <w:lvlText w:val=""/>
      <w:lvlJc w:val="left"/>
      <w:pPr>
        <w:tabs>
          <w:tab w:val="num" w:pos="1164"/>
        </w:tabs>
        <w:ind w:left="1164" w:hanging="360"/>
      </w:pPr>
      <w:rPr>
        <w:rFonts w:ascii="Symbol" w:hAnsi="Symbol" w:hint="default"/>
      </w:rPr>
    </w:lvl>
    <w:lvl w:ilvl="1" w:tplc="04190003" w:tentative="1">
      <w:start w:val="1"/>
      <w:numFmt w:val="bullet"/>
      <w:lvlText w:val="o"/>
      <w:lvlJc w:val="left"/>
      <w:pPr>
        <w:tabs>
          <w:tab w:val="num" w:pos="1884"/>
        </w:tabs>
        <w:ind w:left="1884" w:hanging="360"/>
      </w:pPr>
      <w:rPr>
        <w:rFonts w:ascii="Courier New" w:hAnsi="Courier New" w:cs="Courier New" w:hint="default"/>
      </w:rPr>
    </w:lvl>
    <w:lvl w:ilvl="2" w:tplc="04190005" w:tentative="1">
      <w:start w:val="1"/>
      <w:numFmt w:val="bullet"/>
      <w:lvlText w:val=""/>
      <w:lvlJc w:val="left"/>
      <w:pPr>
        <w:tabs>
          <w:tab w:val="num" w:pos="2604"/>
        </w:tabs>
        <w:ind w:left="2604" w:hanging="360"/>
      </w:pPr>
      <w:rPr>
        <w:rFonts w:ascii="Wingdings" w:hAnsi="Wingdings" w:hint="default"/>
      </w:rPr>
    </w:lvl>
    <w:lvl w:ilvl="3" w:tplc="04190001" w:tentative="1">
      <w:start w:val="1"/>
      <w:numFmt w:val="bullet"/>
      <w:lvlText w:val=""/>
      <w:lvlJc w:val="left"/>
      <w:pPr>
        <w:tabs>
          <w:tab w:val="num" w:pos="3324"/>
        </w:tabs>
        <w:ind w:left="3324" w:hanging="360"/>
      </w:pPr>
      <w:rPr>
        <w:rFonts w:ascii="Symbol" w:hAnsi="Symbol" w:hint="default"/>
      </w:rPr>
    </w:lvl>
    <w:lvl w:ilvl="4" w:tplc="04190003" w:tentative="1">
      <w:start w:val="1"/>
      <w:numFmt w:val="bullet"/>
      <w:lvlText w:val="o"/>
      <w:lvlJc w:val="left"/>
      <w:pPr>
        <w:tabs>
          <w:tab w:val="num" w:pos="4044"/>
        </w:tabs>
        <w:ind w:left="4044" w:hanging="360"/>
      </w:pPr>
      <w:rPr>
        <w:rFonts w:ascii="Courier New" w:hAnsi="Courier New" w:cs="Courier New" w:hint="default"/>
      </w:rPr>
    </w:lvl>
    <w:lvl w:ilvl="5" w:tplc="04190005" w:tentative="1">
      <w:start w:val="1"/>
      <w:numFmt w:val="bullet"/>
      <w:lvlText w:val=""/>
      <w:lvlJc w:val="left"/>
      <w:pPr>
        <w:tabs>
          <w:tab w:val="num" w:pos="4764"/>
        </w:tabs>
        <w:ind w:left="4764" w:hanging="360"/>
      </w:pPr>
      <w:rPr>
        <w:rFonts w:ascii="Wingdings" w:hAnsi="Wingdings" w:hint="default"/>
      </w:rPr>
    </w:lvl>
    <w:lvl w:ilvl="6" w:tplc="04190001" w:tentative="1">
      <w:start w:val="1"/>
      <w:numFmt w:val="bullet"/>
      <w:lvlText w:val=""/>
      <w:lvlJc w:val="left"/>
      <w:pPr>
        <w:tabs>
          <w:tab w:val="num" w:pos="5484"/>
        </w:tabs>
        <w:ind w:left="5484" w:hanging="360"/>
      </w:pPr>
      <w:rPr>
        <w:rFonts w:ascii="Symbol" w:hAnsi="Symbol" w:hint="default"/>
      </w:rPr>
    </w:lvl>
    <w:lvl w:ilvl="7" w:tplc="04190003" w:tentative="1">
      <w:start w:val="1"/>
      <w:numFmt w:val="bullet"/>
      <w:lvlText w:val="o"/>
      <w:lvlJc w:val="left"/>
      <w:pPr>
        <w:tabs>
          <w:tab w:val="num" w:pos="6204"/>
        </w:tabs>
        <w:ind w:left="6204" w:hanging="360"/>
      </w:pPr>
      <w:rPr>
        <w:rFonts w:ascii="Courier New" w:hAnsi="Courier New" w:cs="Courier New" w:hint="default"/>
      </w:rPr>
    </w:lvl>
    <w:lvl w:ilvl="8" w:tplc="04190005" w:tentative="1">
      <w:start w:val="1"/>
      <w:numFmt w:val="bullet"/>
      <w:lvlText w:val=""/>
      <w:lvlJc w:val="left"/>
      <w:pPr>
        <w:tabs>
          <w:tab w:val="num" w:pos="6924"/>
        </w:tabs>
        <w:ind w:left="6924" w:hanging="360"/>
      </w:pPr>
      <w:rPr>
        <w:rFonts w:ascii="Wingdings" w:hAnsi="Wingdings" w:hint="default"/>
      </w:rPr>
    </w:lvl>
  </w:abstractNum>
  <w:abstractNum w:abstractNumId="1" w15:restartNumberingAfterBreak="0">
    <w:nsid w:val="27C1421A"/>
    <w:multiLevelType w:val="hybridMultilevel"/>
    <w:tmpl w:val="2C1A38B8"/>
    <w:lvl w:ilvl="0" w:tplc="195067E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0D93188"/>
    <w:multiLevelType w:val="hybridMultilevel"/>
    <w:tmpl w:val="ED7A1250"/>
    <w:lvl w:ilvl="0" w:tplc="CC1E1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4A392D"/>
    <w:multiLevelType w:val="hybridMultilevel"/>
    <w:tmpl w:val="77E86F92"/>
    <w:lvl w:ilvl="0" w:tplc="CC1E16E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6081EBC"/>
    <w:multiLevelType w:val="hybridMultilevel"/>
    <w:tmpl w:val="69B4AD78"/>
    <w:lvl w:ilvl="0" w:tplc="173EE65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8D60C0C"/>
    <w:multiLevelType w:val="hybridMultilevel"/>
    <w:tmpl w:val="CE3ECEA0"/>
    <w:lvl w:ilvl="0" w:tplc="66ECD5C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3762D43"/>
    <w:multiLevelType w:val="hybridMultilevel"/>
    <w:tmpl w:val="4A2CF8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7C14259"/>
    <w:multiLevelType w:val="hybridMultilevel"/>
    <w:tmpl w:val="0F08F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64D51A1F"/>
    <w:multiLevelType w:val="hybridMultilevel"/>
    <w:tmpl w:val="B73C10C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7"/>
  </w:num>
  <w:num w:numId="9">
    <w:abstractNumId w:val="5"/>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B7"/>
    <w:rsid w:val="000429ED"/>
    <w:rsid w:val="000A3243"/>
    <w:rsid w:val="000B0FB3"/>
    <w:rsid w:val="000E057D"/>
    <w:rsid w:val="000F2134"/>
    <w:rsid w:val="00162DF7"/>
    <w:rsid w:val="00205FA8"/>
    <w:rsid w:val="00262B9B"/>
    <w:rsid w:val="0028213F"/>
    <w:rsid w:val="002959E4"/>
    <w:rsid w:val="003A34B7"/>
    <w:rsid w:val="00406C5F"/>
    <w:rsid w:val="00442CAB"/>
    <w:rsid w:val="00476802"/>
    <w:rsid w:val="005237E8"/>
    <w:rsid w:val="0055324F"/>
    <w:rsid w:val="005F5526"/>
    <w:rsid w:val="00641669"/>
    <w:rsid w:val="00641D3A"/>
    <w:rsid w:val="00642DCC"/>
    <w:rsid w:val="00653157"/>
    <w:rsid w:val="00671F38"/>
    <w:rsid w:val="00675941"/>
    <w:rsid w:val="00676C9C"/>
    <w:rsid w:val="0068349A"/>
    <w:rsid w:val="006B7972"/>
    <w:rsid w:val="00724B05"/>
    <w:rsid w:val="00730674"/>
    <w:rsid w:val="007641B0"/>
    <w:rsid w:val="00854863"/>
    <w:rsid w:val="008A4477"/>
    <w:rsid w:val="00964466"/>
    <w:rsid w:val="009A61A0"/>
    <w:rsid w:val="009C40C7"/>
    <w:rsid w:val="009E7FE7"/>
    <w:rsid w:val="009F7FF0"/>
    <w:rsid w:val="00B65F0C"/>
    <w:rsid w:val="00C65D7F"/>
    <w:rsid w:val="00C828D8"/>
    <w:rsid w:val="00CF0115"/>
    <w:rsid w:val="00CF5AA9"/>
    <w:rsid w:val="00D7582F"/>
    <w:rsid w:val="00D92FE6"/>
    <w:rsid w:val="00DB3A98"/>
    <w:rsid w:val="00E549CB"/>
    <w:rsid w:val="00EC5053"/>
    <w:rsid w:val="00F60515"/>
    <w:rsid w:val="00F83E66"/>
    <w:rsid w:val="00FB179E"/>
    <w:rsid w:val="00FB23A6"/>
    <w:rsid w:val="00FC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1841B3-241D-4F4D-87C0-22410F8E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4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34B7"/>
    <w:pPr>
      <w:suppressAutoHyphens/>
      <w:spacing w:before="280" w:after="280"/>
    </w:pPr>
    <w:rPr>
      <w:rFonts w:ascii="Calibri" w:hAnsi="Calibri" w:cs="Calibri"/>
      <w:lang w:eastAsia="ar-SA"/>
    </w:rPr>
  </w:style>
  <w:style w:type="character" w:customStyle="1" w:styleId="2">
    <w:name w:val="Основной текст 2 Знак"/>
    <w:link w:val="20"/>
    <w:locked/>
    <w:rsid w:val="003A34B7"/>
    <w:rPr>
      <w:sz w:val="24"/>
      <w:szCs w:val="24"/>
      <w:lang w:val="ru-RU" w:eastAsia="ru-RU" w:bidi="ar-SA"/>
    </w:rPr>
  </w:style>
  <w:style w:type="paragraph" w:styleId="20">
    <w:name w:val="Body Text 2"/>
    <w:basedOn w:val="a"/>
    <w:link w:val="2"/>
    <w:rsid w:val="003A34B7"/>
    <w:pPr>
      <w:spacing w:after="120" w:line="480" w:lineRule="auto"/>
    </w:pPr>
  </w:style>
  <w:style w:type="paragraph" w:styleId="a4">
    <w:name w:val="List Paragraph"/>
    <w:basedOn w:val="a"/>
    <w:qFormat/>
    <w:rsid w:val="003A34B7"/>
    <w:pPr>
      <w:spacing w:after="200" w:line="276" w:lineRule="auto"/>
      <w:ind w:left="720"/>
    </w:pPr>
    <w:rPr>
      <w:rFonts w:ascii="Calibri" w:hAnsi="Calibri" w:cs="Calibri"/>
      <w:sz w:val="22"/>
      <w:szCs w:val="22"/>
    </w:rPr>
  </w:style>
  <w:style w:type="paragraph" w:customStyle="1" w:styleId="ConsPlusNormal">
    <w:name w:val="ConsPlusNormal"/>
    <w:rsid w:val="003A34B7"/>
    <w:pPr>
      <w:widowControl w:val="0"/>
      <w:autoSpaceDE w:val="0"/>
      <w:autoSpaceDN w:val="0"/>
      <w:adjustRightInd w:val="0"/>
      <w:ind w:firstLine="720"/>
    </w:pPr>
    <w:rPr>
      <w:rFonts w:ascii="Arial" w:hAnsi="Arial" w:cs="Arial"/>
    </w:rPr>
  </w:style>
  <w:style w:type="paragraph" w:customStyle="1" w:styleId="1">
    <w:name w:val="Абзац списка1"/>
    <w:basedOn w:val="a"/>
    <w:rsid w:val="003A34B7"/>
    <w:pPr>
      <w:spacing w:after="200" w:line="276" w:lineRule="auto"/>
      <w:ind w:left="720"/>
    </w:pPr>
    <w:rPr>
      <w:rFonts w:ascii="Calibri" w:hAnsi="Calibri" w:cs="Calibri"/>
      <w:sz w:val="22"/>
      <w:szCs w:val="22"/>
      <w:lang w:eastAsia="en-US"/>
    </w:rPr>
  </w:style>
  <w:style w:type="character" w:styleId="a5">
    <w:name w:val="Hyperlink"/>
    <w:rsid w:val="003A34B7"/>
    <w:rPr>
      <w:color w:val="0000FF"/>
      <w:u w:val="single"/>
    </w:rPr>
  </w:style>
  <w:style w:type="paragraph" w:customStyle="1" w:styleId="listparagraphcxsplast">
    <w:name w:val="listparagraphcxsplast"/>
    <w:basedOn w:val="a"/>
    <w:rsid w:val="003A34B7"/>
    <w:pPr>
      <w:suppressAutoHyphens/>
      <w:spacing w:before="280" w:after="280"/>
    </w:pPr>
    <w:rPr>
      <w:rFonts w:ascii="Calibri" w:hAnsi="Calibri" w:cs="Calibri"/>
      <w:lang w:eastAsia="ar-SA"/>
    </w:rPr>
  </w:style>
  <w:style w:type="paragraph" w:styleId="a6">
    <w:name w:val="Body Text Indent"/>
    <w:aliases w:val="Основной текст 1,Нумерованный список !!,Надин стиль"/>
    <w:basedOn w:val="a"/>
    <w:link w:val="a7"/>
    <w:rsid w:val="00DB3A98"/>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
    <w:link w:val="a6"/>
    <w:locked/>
    <w:rsid w:val="00D7582F"/>
    <w:rPr>
      <w:sz w:val="24"/>
      <w:szCs w:val="24"/>
      <w:lang w:val="ru-RU" w:eastAsia="ru-RU" w:bidi="ar-SA"/>
    </w:rPr>
  </w:style>
  <w:style w:type="table" w:styleId="-34">
    <w:name w:val="List Table 3 Accent 4"/>
    <w:basedOn w:val="a1"/>
    <w:uiPriority w:val="48"/>
    <w:rsid w:val="009C40C7"/>
    <w:rPr>
      <w:rFonts w:asciiTheme="minorHAnsi" w:eastAsiaTheme="minorEastAsia" w:hAnsiTheme="minorHAnsi" w:cstheme="minorBidi"/>
      <w:sz w:val="22"/>
      <w:szCs w:val="22"/>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1744">
      <w:bodyDiv w:val="1"/>
      <w:marLeft w:val="0"/>
      <w:marRight w:val="0"/>
      <w:marTop w:val="0"/>
      <w:marBottom w:val="0"/>
      <w:divBdr>
        <w:top w:val="none" w:sz="0" w:space="0" w:color="auto"/>
        <w:left w:val="none" w:sz="0" w:space="0" w:color="auto"/>
        <w:bottom w:val="none" w:sz="0" w:space="0" w:color="auto"/>
        <w:right w:val="none" w:sz="0" w:space="0" w:color="auto"/>
      </w:divBdr>
    </w:div>
    <w:div w:id="417673447">
      <w:bodyDiv w:val="1"/>
      <w:marLeft w:val="0"/>
      <w:marRight w:val="0"/>
      <w:marTop w:val="0"/>
      <w:marBottom w:val="0"/>
      <w:divBdr>
        <w:top w:val="none" w:sz="0" w:space="0" w:color="auto"/>
        <w:left w:val="none" w:sz="0" w:space="0" w:color="auto"/>
        <w:bottom w:val="none" w:sz="0" w:space="0" w:color="auto"/>
        <w:right w:val="none" w:sz="0" w:space="0" w:color="auto"/>
      </w:divBdr>
    </w:div>
    <w:div w:id="429543717">
      <w:bodyDiv w:val="1"/>
      <w:marLeft w:val="0"/>
      <w:marRight w:val="0"/>
      <w:marTop w:val="0"/>
      <w:marBottom w:val="0"/>
      <w:divBdr>
        <w:top w:val="none" w:sz="0" w:space="0" w:color="auto"/>
        <w:left w:val="none" w:sz="0" w:space="0" w:color="auto"/>
        <w:bottom w:val="none" w:sz="0" w:space="0" w:color="auto"/>
        <w:right w:val="none" w:sz="0" w:space="0" w:color="auto"/>
      </w:divBdr>
    </w:div>
    <w:div w:id="450126132">
      <w:bodyDiv w:val="1"/>
      <w:marLeft w:val="0"/>
      <w:marRight w:val="0"/>
      <w:marTop w:val="0"/>
      <w:marBottom w:val="0"/>
      <w:divBdr>
        <w:top w:val="none" w:sz="0" w:space="0" w:color="auto"/>
        <w:left w:val="none" w:sz="0" w:space="0" w:color="auto"/>
        <w:bottom w:val="none" w:sz="0" w:space="0" w:color="auto"/>
        <w:right w:val="none" w:sz="0" w:space="0" w:color="auto"/>
      </w:divBdr>
    </w:div>
    <w:div w:id="514882632">
      <w:bodyDiv w:val="1"/>
      <w:marLeft w:val="0"/>
      <w:marRight w:val="0"/>
      <w:marTop w:val="0"/>
      <w:marBottom w:val="0"/>
      <w:divBdr>
        <w:top w:val="none" w:sz="0" w:space="0" w:color="auto"/>
        <w:left w:val="none" w:sz="0" w:space="0" w:color="auto"/>
        <w:bottom w:val="none" w:sz="0" w:space="0" w:color="auto"/>
        <w:right w:val="none" w:sz="0" w:space="0" w:color="auto"/>
      </w:divBdr>
    </w:div>
    <w:div w:id="573710673">
      <w:bodyDiv w:val="1"/>
      <w:marLeft w:val="0"/>
      <w:marRight w:val="0"/>
      <w:marTop w:val="0"/>
      <w:marBottom w:val="0"/>
      <w:divBdr>
        <w:top w:val="none" w:sz="0" w:space="0" w:color="auto"/>
        <w:left w:val="none" w:sz="0" w:space="0" w:color="auto"/>
        <w:bottom w:val="none" w:sz="0" w:space="0" w:color="auto"/>
        <w:right w:val="none" w:sz="0" w:space="0" w:color="auto"/>
      </w:divBdr>
    </w:div>
    <w:div w:id="634258829">
      <w:bodyDiv w:val="1"/>
      <w:marLeft w:val="0"/>
      <w:marRight w:val="0"/>
      <w:marTop w:val="0"/>
      <w:marBottom w:val="0"/>
      <w:divBdr>
        <w:top w:val="none" w:sz="0" w:space="0" w:color="auto"/>
        <w:left w:val="none" w:sz="0" w:space="0" w:color="auto"/>
        <w:bottom w:val="none" w:sz="0" w:space="0" w:color="auto"/>
        <w:right w:val="none" w:sz="0" w:space="0" w:color="auto"/>
      </w:divBdr>
    </w:div>
    <w:div w:id="673455086">
      <w:bodyDiv w:val="1"/>
      <w:marLeft w:val="0"/>
      <w:marRight w:val="0"/>
      <w:marTop w:val="0"/>
      <w:marBottom w:val="0"/>
      <w:divBdr>
        <w:top w:val="none" w:sz="0" w:space="0" w:color="auto"/>
        <w:left w:val="none" w:sz="0" w:space="0" w:color="auto"/>
        <w:bottom w:val="none" w:sz="0" w:space="0" w:color="auto"/>
        <w:right w:val="none" w:sz="0" w:space="0" w:color="auto"/>
      </w:divBdr>
    </w:div>
    <w:div w:id="1163204452">
      <w:bodyDiv w:val="1"/>
      <w:marLeft w:val="0"/>
      <w:marRight w:val="0"/>
      <w:marTop w:val="0"/>
      <w:marBottom w:val="0"/>
      <w:divBdr>
        <w:top w:val="none" w:sz="0" w:space="0" w:color="auto"/>
        <w:left w:val="none" w:sz="0" w:space="0" w:color="auto"/>
        <w:bottom w:val="none" w:sz="0" w:space="0" w:color="auto"/>
        <w:right w:val="none" w:sz="0" w:space="0" w:color="auto"/>
      </w:divBdr>
    </w:div>
    <w:div w:id="1167329936">
      <w:bodyDiv w:val="1"/>
      <w:marLeft w:val="0"/>
      <w:marRight w:val="0"/>
      <w:marTop w:val="0"/>
      <w:marBottom w:val="0"/>
      <w:divBdr>
        <w:top w:val="none" w:sz="0" w:space="0" w:color="auto"/>
        <w:left w:val="none" w:sz="0" w:space="0" w:color="auto"/>
        <w:bottom w:val="none" w:sz="0" w:space="0" w:color="auto"/>
        <w:right w:val="none" w:sz="0" w:space="0" w:color="auto"/>
      </w:divBdr>
    </w:div>
    <w:div w:id="1492478118">
      <w:bodyDiv w:val="1"/>
      <w:marLeft w:val="0"/>
      <w:marRight w:val="0"/>
      <w:marTop w:val="0"/>
      <w:marBottom w:val="0"/>
      <w:divBdr>
        <w:top w:val="none" w:sz="0" w:space="0" w:color="auto"/>
        <w:left w:val="none" w:sz="0" w:space="0" w:color="auto"/>
        <w:bottom w:val="none" w:sz="0" w:space="0" w:color="auto"/>
        <w:right w:val="none" w:sz="0" w:space="0" w:color="auto"/>
      </w:divBdr>
    </w:div>
    <w:div w:id="1804809037">
      <w:bodyDiv w:val="1"/>
      <w:marLeft w:val="0"/>
      <w:marRight w:val="0"/>
      <w:marTop w:val="0"/>
      <w:marBottom w:val="0"/>
      <w:divBdr>
        <w:top w:val="none" w:sz="0" w:space="0" w:color="auto"/>
        <w:left w:val="none" w:sz="0" w:space="0" w:color="auto"/>
        <w:bottom w:val="none" w:sz="0" w:space="0" w:color="auto"/>
        <w:right w:val="none" w:sz="0" w:space="0" w:color="auto"/>
      </w:divBdr>
    </w:div>
    <w:div w:id="1866017412">
      <w:bodyDiv w:val="1"/>
      <w:marLeft w:val="0"/>
      <w:marRight w:val="0"/>
      <w:marTop w:val="0"/>
      <w:marBottom w:val="0"/>
      <w:divBdr>
        <w:top w:val="none" w:sz="0" w:space="0" w:color="auto"/>
        <w:left w:val="none" w:sz="0" w:space="0" w:color="auto"/>
        <w:bottom w:val="none" w:sz="0" w:space="0" w:color="auto"/>
        <w:right w:val="none" w:sz="0" w:space="0" w:color="auto"/>
      </w:divBdr>
    </w:div>
    <w:div w:id="18757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adm.gov86.org/files/2016/finkom/2014-otchet-kf.do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http://adm.gov86.org/files/2016/finkom/2014-otchet-kf.docm"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ru-RU" sz="1400" b="0"/>
              <a:t>Динамика доходов и расходов бюджета города Пыть-Яха, млн. рублей</a:t>
            </a:r>
          </a:p>
        </c:rich>
      </c:tx>
      <c:layout>
        <c:manualLayout>
          <c:xMode val="edge"/>
          <c:yMode val="edge"/>
          <c:x val="0.11934454593175853"/>
          <c:y val="6.1604993676308596E-4"/>
        </c:manualLayout>
      </c:layout>
      <c:overlay val="0"/>
      <c:spPr>
        <a:noFill/>
        <a:ln w="25376">
          <a:noFill/>
        </a:ln>
      </c:spPr>
    </c:title>
    <c:autoTitleDeleted val="0"/>
    <c:plotArea>
      <c:layout>
        <c:manualLayout>
          <c:layoutTarget val="inner"/>
          <c:xMode val="edge"/>
          <c:yMode val="edge"/>
          <c:x val="2.3466666666666667E-2"/>
          <c:y val="0.22888305628463107"/>
          <c:w val="0.95306666666666662"/>
          <c:h val="0.67032978516574315"/>
        </c:manualLayout>
      </c:layout>
      <c:lineChart>
        <c:grouping val="standard"/>
        <c:varyColors val="0"/>
        <c:ser>
          <c:idx val="0"/>
          <c:order val="0"/>
          <c:tx>
            <c:strRef>
              <c:f>Лист1!$B$1</c:f>
              <c:strCache>
                <c:ptCount val="1"/>
                <c:pt idx="0">
                  <c:v>Доходы</c:v>
                </c:pt>
              </c:strCache>
            </c:strRef>
          </c:tx>
          <c:spPr>
            <a:ln w="28548" cap="rnd">
              <a:solidFill>
                <a:schemeClr val="accent1"/>
              </a:solidFill>
              <a:round/>
            </a:ln>
            <a:effectLst>
              <a:softEdge rad="0"/>
            </a:effectLst>
          </c:spPr>
          <c:marker>
            <c:symbol val="triangle"/>
            <c:size val="9"/>
            <c:spPr>
              <a:solidFill>
                <a:schemeClr val="accent1"/>
              </a:solidFill>
              <a:ln w="9516">
                <a:solidFill>
                  <a:schemeClr val="accent1"/>
                </a:solidFill>
              </a:ln>
              <a:effectLst>
                <a:softEdge rad="0"/>
              </a:effectLst>
            </c:spPr>
          </c:marker>
          <c:dLbls>
            <c:dLbl>
              <c:idx val="1"/>
              <c:numFmt formatCode="#,##0.0" sourceLinked="0"/>
              <c:spPr>
                <a:noFill/>
                <a:ln>
                  <a:solidFill>
                    <a:schemeClr val="accent5"/>
                  </a:solidFill>
                </a:ln>
                <a:effectLst>
                  <a:glow rad="63500">
                    <a:schemeClr val="accent1">
                      <a:satMod val="175000"/>
                      <a:alpha val="40000"/>
                    </a:schemeClr>
                  </a:glow>
                </a:effectLst>
              </c:spPr>
              <c:txPr>
                <a:bodyPr/>
                <a:lstStyle/>
                <a:p>
                  <a:pPr>
                    <a:defRPr sz="1194" b="1" i="0" u="none" strike="noStrike" baseline="0">
                      <a:solidFill>
                        <a:srgbClr val="33CCCC"/>
                      </a:solidFill>
                      <a:latin typeface="Calibri"/>
                      <a:ea typeface="Calibri"/>
                      <a:cs typeface="Calibri"/>
                    </a:defRPr>
                  </a:pPr>
                  <a:endParaRPr lang="ru-RU"/>
                </a:p>
              </c:txPr>
              <c:dLblPos val="b"/>
              <c:showLegendKey val="0"/>
              <c:showVal val="1"/>
              <c:showCatName val="0"/>
              <c:showSerName val="0"/>
              <c:showPercent val="0"/>
              <c:showBubbleSize val="0"/>
            </c:dLbl>
            <c:dLbl>
              <c:idx val="2"/>
              <c:layout/>
              <c:numFmt formatCode="#,##0.0" sourceLinked="0"/>
              <c:spPr>
                <a:noFill/>
                <a:ln>
                  <a:solidFill>
                    <a:schemeClr val="accent5"/>
                  </a:solidFill>
                </a:ln>
                <a:effectLst>
                  <a:glow rad="63500">
                    <a:schemeClr val="accent1">
                      <a:satMod val="175000"/>
                      <a:alpha val="40000"/>
                    </a:schemeClr>
                  </a:glow>
                </a:effectLst>
              </c:spPr>
              <c:txPr>
                <a:bodyPr/>
                <a:lstStyle/>
                <a:p>
                  <a:pPr>
                    <a:defRPr sz="1194" b="1" i="0" u="none" strike="noStrike" baseline="0">
                      <a:solidFill>
                        <a:srgbClr val="33CCCC"/>
                      </a:solidFill>
                      <a:latin typeface="Calibri"/>
                      <a:ea typeface="Calibri"/>
                      <a:cs typeface="Calibri"/>
                    </a:defRPr>
                  </a:pPr>
                  <a:endParaRPr lang="ru-RU"/>
                </a:p>
              </c:txPr>
              <c:dLblPos val="t"/>
              <c:showLegendKey val="0"/>
              <c:showVal val="1"/>
              <c:showCatName val="0"/>
              <c:showSerName val="0"/>
              <c:showPercent val="0"/>
              <c:showBubbleSize val="0"/>
              <c:extLst>
                <c:ext xmlns:c15="http://schemas.microsoft.com/office/drawing/2012/chart" uri="{CE6537A1-D6FC-4f65-9D91-7224C49458BB}">
                  <c15:layout/>
                </c:ext>
              </c:extLst>
            </c:dLbl>
            <c:dLbl>
              <c:idx val="7"/>
              <c:layout/>
              <c:numFmt formatCode="#,##0.0" sourceLinked="0"/>
              <c:spPr>
                <a:noFill/>
                <a:ln>
                  <a:solidFill>
                    <a:schemeClr val="accent5"/>
                  </a:solidFill>
                </a:ln>
                <a:effectLst>
                  <a:glow rad="63500">
                    <a:schemeClr val="accent1">
                      <a:satMod val="175000"/>
                      <a:alpha val="40000"/>
                    </a:schemeClr>
                  </a:glow>
                </a:effectLst>
              </c:spPr>
              <c:txPr>
                <a:bodyPr/>
                <a:lstStyle/>
                <a:p>
                  <a:pPr>
                    <a:defRPr sz="1194" b="1" i="0" u="none" strike="noStrike" baseline="0">
                      <a:solidFill>
                        <a:srgbClr val="33CCCC"/>
                      </a:solidFill>
                      <a:latin typeface="Calibri"/>
                      <a:ea typeface="Calibri"/>
                      <a:cs typeface="Calibri"/>
                    </a:defRPr>
                  </a:pPr>
                  <a:endParaRPr lang="ru-RU"/>
                </a:p>
              </c:txPr>
              <c:dLblPos val="t"/>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solidFill>
                  <a:schemeClr val="accent5"/>
                </a:solidFill>
              </a:ln>
              <a:effectLst>
                <a:glow rad="63500">
                  <a:schemeClr val="accent1">
                    <a:satMod val="175000"/>
                    <a:alpha val="40000"/>
                  </a:schemeClr>
                </a:glow>
              </a:effectLst>
            </c:spPr>
            <c:txPr>
              <a:bodyPr wrap="square" lIns="38100" tIns="19050" rIns="38100" bIns="19050" anchor="ctr">
                <a:spAutoFit/>
              </a:bodyPr>
              <a:lstStyle/>
              <a:p>
                <a:pPr>
                  <a:defRPr sz="1194" b="1" i="0" u="none" strike="noStrike" baseline="0">
                    <a:solidFill>
                      <a:srgbClr val="33CCCC"/>
                    </a:solidFill>
                    <a:latin typeface="Calibri"/>
                    <a:ea typeface="Calibri"/>
                    <a:cs typeface="Calibri"/>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2558.8000000000002</c:v>
                </c:pt>
                <c:pt idx="1">
                  <c:v>2751.7</c:v>
                </c:pt>
                <c:pt idx="2" formatCode="#\ ##0.0">
                  <c:v>3599.7</c:v>
                </c:pt>
                <c:pt idx="3" formatCode="#\ ##0.0">
                  <c:v>3393.5</c:v>
                </c:pt>
                <c:pt idx="4" formatCode="#\ ##0.0">
                  <c:v>2811</c:v>
                </c:pt>
                <c:pt idx="5" formatCode="#\ ##0.0">
                  <c:v>3532.9</c:v>
                </c:pt>
                <c:pt idx="6" formatCode="#\ ##0.0">
                  <c:v>3188.4</c:v>
                </c:pt>
                <c:pt idx="7">
                  <c:v>3248.7</c:v>
                </c:pt>
                <c:pt idx="8">
                  <c:v>5342.4</c:v>
                </c:pt>
                <c:pt idx="9">
                  <c:v>3062.4</c:v>
                </c:pt>
              </c:numCache>
            </c:numRef>
          </c:val>
          <c:smooth val="0"/>
        </c:ser>
        <c:ser>
          <c:idx val="1"/>
          <c:order val="1"/>
          <c:tx>
            <c:strRef>
              <c:f>Лист1!$C$1</c:f>
              <c:strCache>
                <c:ptCount val="1"/>
                <c:pt idx="0">
                  <c:v>Расходы</c:v>
                </c:pt>
              </c:strCache>
            </c:strRef>
          </c:tx>
          <c:spPr>
            <a:ln w="28548" cap="rnd">
              <a:solidFill>
                <a:schemeClr val="accent2"/>
              </a:solidFill>
              <a:round/>
            </a:ln>
            <a:effectLst/>
          </c:spPr>
          <c:marker>
            <c:symbol val="diamond"/>
            <c:size val="9"/>
            <c:spPr>
              <a:solidFill>
                <a:schemeClr val="accent2"/>
              </a:solidFill>
              <a:ln w="9516">
                <a:solidFill>
                  <a:schemeClr val="accent2"/>
                </a:solidFill>
              </a:ln>
              <a:effectLst/>
            </c:spPr>
          </c:marker>
          <c:dLbls>
            <c:dLbl>
              <c:idx val="1"/>
              <c:spPr>
                <a:solidFill>
                  <a:schemeClr val="lt1"/>
                </a:solidFill>
                <a:ln w="12688" cap="flat" cmpd="sng" algn="ctr">
                  <a:solidFill>
                    <a:schemeClr val="accent2"/>
                  </a:solidFill>
                  <a:prstDash val="solid"/>
                  <a:miter lim="800000"/>
                </a:ln>
                <a:effectLst>
                  <a:glow rad="63500">
                    <a:schemeClr val="accent1">
                      <a:satMod val="175000"/>
                      <a:alpha val="40000"/>
                    </a:schemeClr>
                  </a:glow>
                </a:effectLst>
              </c:spPr>
              <c:txPr>
                <a:bodyPr/>
                <a:lstStyle/>
                <a:p>
                  <a:pPr>
                    <a:defRPr sz="1194" b="1" i="0" u="none" strike="noStrike" baseline="0">
                      <a:solidFill>
                        <a:srgbClr val="C00000"/>
                      </a:solidFill>
                      <a:latin typeface="Calibri"/>
                      <a:ea typeface="Calibri"/>
                      <a:cs typeface="Calibri"/>
                    </a:defRPr>
                  </a:pPr>
                  <a:endParaRPr lang="ru-RU"/>
                </a:p>
              </c:txPr>
              <c:dLblPos val="t"/>
              <c:showLegendKey val="0"/>
              <c:showVal val="1"/>
              <c:showCatName val="0"/>
              <c:showSerName val="0"/>
              <c:showPercent val="0"/>
              <c:showBubbleSize val="0"/>
            </c:dLbl>
            <c:dLbl>
              <c:idx val="2"/>
              <c:layout/>
              <c:spPr>
                <a:solidFill>
                  <a:schemeClr val="lt1"/>
                </a:solidFill>
                <a:ln w="12688" cap="flat" cmpd="sng" algn="ctr">
                  <a:solidFill>
                    <a:schemeClr val="accent2"/>
                  </a:solidFill>
                  <a:prstDash val="solid"/>
                  <a:miter lim="800000"/>
                </a:ln>
                <a:effectLst>
                  <a:glow rad="63500">
                    <a:schemeClr val="accent1">
                      <a:satMod val="175000"/>
                      <a:alpha val="40000"/>
                    </a:schemeClr>
                  </a:glow>
                </a:effectLst>
              </c:spPr>
              <c:txPr>
                <a:bodyPr/>
                <a:lstStyle/>
                <a:p>
                  <a:pPr>
                    <a:defRPr sz="1194" b="1" i="0" u="none" strike="noStrike" baseline="0">
                      <a:solidFill>
                        <a:srgbClr val="C00000"/>
                      </a:solidFill>
                      <a:latin typeface="Calibri"/>
                      <a:ea typeface="Calibri"/>
                      <a:cs typeface="Calibri"/>
                    </a:defRPr>
                  </a:pPr>
                  <a:endParaRPr lang="ru-RU"/>
                </a:p>
              </c:txPr>
              <c:dLblPos val="b"/>
              <c:showLegendKey val="0"/>
              <c:showVal val="1"/>
              <c:showCatName val="0"/>
              <c:showSerName val="0"/>
              <c:showPercent val="0"/>
              <c:showBubbleSize val="0"/>
              <c:extLst>
                <c:ext xmlns:c15="http://schemas.microsoft.com/office/drawing/2012/chart" uri="{CE6537A1-D6FC-4f65-9D91-7224C49458BB}">
                  <c15:layout/>
                </c:ext>
              </c:extLst>
            </c:dLbl>
            <c:dLbl>
              <c:idx val="7"/>
              <c:layout/>
              <c:spPr>
                <a:solidFill>
                  <a:schemeClr val="lt1"/>
                </a:solidFill>
                <a:ln w="12688" cap="flat" cmpd="sng" algn="ctr">
                  <a:solidFill>
                    <a:schemeClr val="accent2"/>
                  </a:solidFill>
                  <a:prstDash val="solid"/>
                  <a:miter lim="800000"/>
                </a:ln>
                <a:effectLst>
                  <a:glow rad="63500">
                    <a:schemeClr val="accent1">
                      <a:satMod val="175000"/>
                      <a:alpha val="40000"/>
                    </a:schemeClr>
                  </a:glow>
                </a:effectLst>
              </c:spPr>
              <c:txPr>
                <a:bodyPr/>
                <a:lstStyle/>
                <a:p>
                  <a:pPr>
                    <a:defRPr sz="1194" b="1" i="0" u="none" strike="noStrike" baseline="0">
                      <a:solidFill>
                        <a:srgbClr val="C00000"/>
                      </a:solidFill>
                      <a:latin typeface="Calibri"/>
                      <a:ea typeface="Calibri"/>
                      <a:cs typeface="Calibri"/>
                    </a:defRPr>
                  </a:pPr>
                  <a:endParaRPr lang="ru-RU"/>
                </a:p>
              </c:txPr>
              <c:dLblPos val="b"/>
              <c:showLegendKey val="0"/>
              <c:showVal val="1"/>
              <c:showCatName val="0"/>
              <c:showSerName val="0"/>
              <c:showPercent val="0"/>
              <c:showBubbleSize val="0"/>
              <c:extLst>
                <c:ext xmlns:c15="http://schemas.microsoft.com/office/drawing/2012/chart" uri="{CE6537A1-D6FC-4f65-9D91-7224C49458BB}">
                  <c15:layout/>
                </c:ext>
              </c:extLst>
            </c:dLbl>
            <c:spPr>
              <a:solidFill>
                <a:schemeClr val="lt1"/>
              </a:solidFill>
              <a:ln w="12688" cap="flat" cmpd="sng" algn="ctr">
                <a:solidFill>
                  <a:schemeClr val="accent2"/>
                </a:solidFill>
                <a:prstDash val="solid"/>
                <a:miter lim="800000"/>
              </a:ln>
              <a:effectLst>
                <a:glow rad="63500">
                  <a:schemeClr val="accent1">
                    <a:satMod val="175000"/>
                    <a:alpha val="40000"/>
                  </a:schemeClr>
                </a:glow>
              </a:effectLst>
            </c:spPr>
            <c:txPr>
              <a:bodyPr wrap="square" lIns="38100" tIns="19050" rIns="38100" bIns="19050" anchor="ctr">
                <a:spAutoFit/>
              </a:bodyPr>
              <a:lstStyle/>
              <a:p>
                <a:pPr>
                  <a:defRPr sz="1194" b="1" i="0" u="none" strike="noStrike" baseline="0">
                    <a:solidFill>
                      <a:srgbClr val="C00000"/>
                    </a:solidFill>
                    <a:latin typeface="Calibri"/>
                    <a:ea typeface="Calibri"/>
                    <a:cs typeface="Calibri"/>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Лист1!$C$2:$C$11</c:f>
              <c:numCache>
                <c:formatCode>General</c:formatCode>
                <c:ptCount val="10"/>
                <c:pt idx="0">
                  <c:v>2734.1</c:v>
                </c:pt>
                <c:pt idx="1">
                  <c:v>2682.6</c:v>
                </c:pt>
                <c:pt idx="2" formatCode="#\ ##0.0">
                  <c:v>2863.7</c:v>
                </c:pt>
                <c:pt idx="3" formatCode="#\ ##0.0">
                  <c:v>3755.4</c:v>
                </c:pt>
                <c:pt idx="4" formatCode="#\ ##0.0">
                  <c:v>3334.3</c:v>
                </c:pt>
                <c:pt idx="5" formatCode="#\ ##0.0">
                  <c:v>3637.8</c:v>
                </c:pt>
                <c:pt idx="6" formatCode="#\ ##0.0">
                  <c:v>3209.1</c:v>
                </c:pt>
                <c:pt idx="7" formatCode="#\ ##0.0">
                  <c:v>3078.1</c:v>
                </c:pt>
                <c:pt idx="8" formatCode="#\ ##0.0">
                  <c:v>3963.6</c:v>
                </c:pt>
                <c:pt idx="9" formatCode="#\ ##0.0">
                  <c:v>3112.2</c:v>
                </c:pt>
              </c:numCache>
            </c:numRef>
          </c:val>
          <c:smooth val="0"/>
        </c:ser>
        <c:dLbls>
          <c:showLegendKey val="0"/>
          <c:showVal val="0"/>
          <c:showCatName val="0"/>
          <c:showSerName val="0"/>
          <c:showPercent val="0"/>
          <c:showBubbleSize val="0"/>
        </c:dLbls>
        <c:marker val="1"/>
        <c:smooth val="0"/>
        <c:axId val="412656656"/>
        <c:axId val="412643216"/>
      </c:lineChart>
      <c:catAx>
        <c:axId val="412656656"/>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0" vert="horz"/>
          <a:lstStyle/>
          <a:p>
            <a:pPr>
              <a:defRPr sz="1194" b="0" i="0" u="none" strike="noStrike" baseline="0">
                <a:solidFill>
                  <a:srgbClr val="333333"/>
                </a:solidFill>
                <a:latin typeface="Calibri"/>
                <a:ea typeface="Calibri"/>
                <a:cs typeface="Calibri"/>
              </a:defRPr>
            </a:pPr>
            <a:endParaRPr lang="ru-RU"/>
          </a:p>
        </c:txPr>
        <c:crossAx val="412643216"/>
        <c:crosses val="autoZero"/>
        <c:auto val="1"/>
        <c:lblAlgn val="ctr"/>
        <c:lblOffset val="100"/>
        <c:noMultiLvlLbl val="0"/>
      </c:catAx>
      <c:valAx>
        <c:axId val="412643216"/>
        <c:scaling>
          <c:orientation val="minMax"/>
          <c:min val="2400"/>
        </c:scaling>
        <c:delete val="1"/>
        <c:axPos val="l"/>
        <c:numFmt formatCode="General" sourceLinked="1"/>
        <c:majorTickMark val="out"/>
        <c:minorTickMark val="none"/>
        <c:tickLblPos val="nextTo"/>
        <c:crossAx val="412656656"/>
        <c:crosses val="autoZero"/>
        <c:crossBetween val="between"/>
      </c:valAx>
      <c:spPr>
        <a:noFill/>
        <a:ln w="25376">
          <a:noFill/>
        </a:ln>
      </c:spPr>
    </c:plotArea>
    <c:legend>
      <c:legendPos val="t"/>
      <c:layout/>
      <c:overlay val="0"/>
      <c:spPr>
        <a:noFill/>
        <a:ln w="25376">
          <a:noFill/>
        </a:ln>
      </c:spPr>
      <c:txPr>
        <a:bodyPr/>
        <a:lstStyle/>
        <a:p>
          <a:pPr>
            <a:defRPr sz="1653"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a:noFill/>
    </a:ln>
    <a:effectLst/>
  </c:spPr>
  <c:txPr>
    <a:bodyPr/>
    <a:lstStyle/>
    <a:p>
      <a:pPr>
        <a:defRPr sz="132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84637568452094E-2"/>
          <c:y val="5.146198830409357E-2"/>
          <c:w val="0.89170960111467545"/>
          <c:h val="0.73299000782796886"/>
        </c:manualLayout>
      </c:layout>
      <c:barChart>
        <c:barDir val="bar"/>
        <c:grouping val="stacked"/>
        <c:varyColors val="0"/>
        <c:ser>
          <c:idx val="0"/>
          <c:order val="0"/>
          <c:tx>
            <c:strRef>
              <c:f>Лист1!$B$1</c:f>
              <c:strCache>
                <c:ptCount val="1"/>
                <c:pt idx="0">
                  <c:v>Налоговые доходы</c:v>
                </c:pt>
              </c:strCache>
            </c:strRef>
          </c:tx>
          <c:spPr>
            <a:solidFill>
              <a:schemeClr val="accent1">
                <a:alpha val="70000"/>
              </a:schemeClr>
            </a:solidFill>
            <a:ln>
              <a:noFill/>
            </a:ln>
            <a:effectLst/>
          </c:spPr>
          <c:invertIfNegative val="0"/>
          <c:dLbls>
            <c:dLbl>
              <c:idx val="0"/>
              <c:layout/>
              <c:tx>
                <c:rich>
                  <a:bodyPr/>
                  <a:lstStyle/>
                  <a:p>
                    <a:fld id="{5C2F0DAA-7081-4DE4-B209-B43430628342}" type="CELLRANGE">
                      <a:rPr lang="en-US"/>
                      <a:pPr/>
                      <a:t>[ДИАПАЗОН ЯЧЕЕК]</a:t>
                    </a:fld>
                    <a:r>
                      <a:rPr lang="en-US" baseline="0"/>
                      <a:t>; </a:t>
                    </a:r>
                    <a:fld id="{973DFF29-6DF7-40A5-8429-15024DA802E9}"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
              <c:layout/>
              <c:tx>
                <c:rich>
                  <a:bodyPr/>
                  <a:lstStyle/>
                  <a:p>
                    <a:fld id="{1EC0BC43-4E2B-47DE-9C3F-D35AA95062F8}" type="CELLRANGE">
                      <a:rPr lang="en-US"/>
                      <a:pPr/>
                      <a:t>[ДИАПАЗОН ЯЧЕЕК]</a:t>
                    </a:fld>
                    <a:r>
                      <a:rPr lang="en-US" baseline="0"/>
                      <a:t>; </a:t>
                    </a:r>
                    <a:fld id="{73DA99B6-0AA1-4039-9525-5236B095BDCA}"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B57726AA-FCA7-4473-9BEB-2F8AD5FC14BF}" type="CELLRANGE">
                      <a:rPr lang="en-US"/>
                      <a:pPr/>
                      <a:t>[ДИАПАЗОН ЯЧЕЕК]</a:t>
                    </a:fld>
                    <a:r>
                      <a:rPr lang="en-US" baseline="0"/>
                      <a:t>; </a:t>
                    </a:r>
                    <a:fld id="{B287D145-2113-418D-95BC-16BB2A683259}"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C97A7F93-D35D-4517-BE80-FFC198AF7804}" type="CELLRANGE">
                      <a:rPr lang="en-US"/>
                      <a:pPr/>
                      <a:t>[ДИАПАЗОН ЯЧЕЕК]</a:t>
                    </a:fld>
                    <a:r>
                      <a:rPr lang="en-US" baseline="0"/>
                      <a:t>; </a:t>
                    </a:r>
                    <a:fld id="{CB82E234-2B26-4318-A6F7-FAF389341355}"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F3A0E344-3EFC-4823-8514-6C74769EA012}" type="CELLRANGE">
                      <a:rPr lang="en-US"/>
                      <a:pPr/>
                      <a:t>[ДИАПАЗОН ЯЧЕЕК]</a:t>
                    </a:fld>
                    <a:r>
                      <a:rPr lang="en-US" baseline="0"/>
                      <a:t>; </a:t>
                    </a:r>
                    <a:fld id="{463D8B01-6D0E-4BC3-846C-AE3178497B59}"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5A19C246-3E0C-4F87-A69A-1053DED51EC8}" type="CELLRANGE">
                      <a:rPr lang="en-US"/>
                      <a:pPr/>
                      <a:t>[ДИАПАЗОН ЯЧЕЕК]</a:t>
                    </a:fld>
                    <a:r>
                      <a:rPr lang="en-US" baseline="0"/>
                      <a:t>; </a:t>
                    </a:r>
                    <a:fld id="{5CC434EC-6536-4D08-B892-ED8E70E96ACF}"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2019</c:v>
                </c:pt>
                <c:pt idx="1">
                  <c:v>2018</c:v>
                </c:pt>
                <c:pt idx="2">
                  <c:v>2017</c:v>
                </c:pt>
                <c:pt idx="3">
                  <c:v>2016</c:v>
                </c:pt>
                <c:pt idx="4">
                  <c:v>2015</c:v>
                </c:pt>
                <c:pt idx="5">
                  <c:v>2014</c:v>
                </c:pt>
              </c:numCache>
            </c:numRef>
          </c:cat>
          <c:val>
            <c:numRef>
              <c:f>Лист1!$B$2:$B$7</c:f>
              <c:numCache>
                <c:formatCode>General</c:formatCode>
                <c:ptCount val="6"/>
                <c:pt idx="0">
                  <c:v>963</c:v>
                </c:pt>
                <c:pt idx="1">
                  <c:v>843</c:v>
                </c:pt>
                <c:pt idx="2">
                  <c:v>813.4</c:v>
                </c:pt>
                <c:pt idx="3">
                  <c:v>675.1</c:v>
                </c:pt>
                <c:pt idx="4">
                  <c:v>833.8</c:v>
                </c:pt>
                <c:pt idx="5">
                  <c:v>891.7</c:v>
                </c:pt>
              </c:numCache>
            </c:numRef>
          </c:val>
          <c:extLst>
            <c:ext xmlns:c15="http://schemas.microsoft.com/office/drawing/2012/chart" uri="{02D57815-91ED-43cb-92C2-25804820EDAC}">
              <c15:datalabelsRange>
                <c15:f>Лист1!$B$9:$B$14</c15:f>
                <c15:dlblRangeCache>
                  <c:ptCount val="6"/>
                  <c:pt idx="0">
                    <c:v>31,4%</c:v>
                  </c:pt>
                  <c:pt idx="1">
                    <c:v>15,8%</c:v>
                  </c:pt>
                  <c:pt idx="2">
                    <c:v>25,0%</c:v>
                  </c:pt>
                  <c:pt idx="3">
                    <c:v>21,2%</c:v>
                  </c:pt>
                  <c:pt idx="4">
                    <c:v>23,6%</c:v>
                  </c:pt>
                  <c:pt idx="5">
                    <c:v>31,7%</c:v>
                  </c:pt>
                </c15:dlblRangeCache>
              </c15:datalabelsRange>
            </c:ext>
          </c:extLst>
        </c:ser>
        <c:ser>
          <c:idx val="1"/>
          <c:order val="1"/>
          <c:tx>
            <c:strRef>
              <c:f>Лист1!$C$1</c:f>
              <c:strCache>
                <c:ptCount val="1"/>
                <c:pt idx="0">
                  <c:v>Неналоговые доходы</c:v>
                </c:pt>
              </c:strCache>
            </c:strRef>
          </c:tx>
          <c:spPr>
            <a:solidFill>
              <a:schemeClr val="accent2">
                <a:alpha val="70000"/>
              </a:schemeClr>
            </a:solidFill>
            <a:ln>
              <a:noFill/>
            </a:ln>
            <a:effectLst/>
          </c:spPr>
          <c:invertIfNegative val="0"/>
          <c:dLbls>
            <c:dLbl>
              <c:idx val="0"/>
              <c:layout/>
              <c:tx>
                <c:rich>
                  <a:bodyPr/>
                  <a:lstStyle/>
                  <a:p>
                    <a:fld id="{8227B472-F7B1-4DCE-AB80-D31764C0FF92}" type="CELLRANGE">
                      <a:rPr lang="en-US"/>
                      <a:pPr/>
                      <a:t>[ДИАПАЗОН ЯЧЕЕК]</a:t>
                    </a:fld>
                    <a:r>
                      <a:rPr lang="en-US" baseline="0"/>
                      <a:t>; </a:t>
                    </a:r>
                    <a:fld id="{379B9409-E261-4E40-A5E2-7700D5EAA3FC}"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
              <c:layout/>
              <c:tx>
                <c:rich>
                  <a:bodyPr/>
                  <a:lstStyle/>
                  <a:p>
                    <a:fld id="{D382418D-95DC-44C9-823B-65A58C898069}" type="CELLRANGE">
                      <a:rPr lang="en-US"/>
                      <a:pPr/>
                      <a:t>[ДИАПАЗОН ЯЧЕЕК]</a:t>
                    </a:fld>
                    <a:r>
                      <a:rPr lang="en-US" baseline="0"/>
                      <a:t>; </a:t>
                    </a:r>
                    <a:fld id="{CEA53138-E0C2-4EF9-904C-2D547EAE138E}"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FCB4A884-F138-46B9-80B2-18D55A19DE83}" type="CELLRANGE">
                      <a:rPr lang="en-US"/>
                      <a:pPr/>
                      <a:t>[ДИАПАЗОН ЯЧЕЕК]</a:t>
                    </a:fld>
                    <a:r>
                      <a:rPr lang="en-US" baseline="0"/>
                      <a:t>; </a:t>
                    </a:r>
                    <a:fld id="{5F618023-7C8B-4070-A9D5-9A0F547ADF19}"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54AD9602-37E1-45AE-A201-548B98768E1C}" type="CELLRANGE">
                      <a:rPr lang="en-US"/>
                      <a:pPr/>
                      <a:t>[ДИАПАЗОН ЯЧЕЕК]</a:t>
                    </a:fld>
                    <a:r>
                      <a:rPr lang="en-US" baseline="0"/>
                      <a:t>; </a:t>
                    </a:r>
                    <a:fld id="{629213AE-01E8-4265-977C-15301265C7B7}"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5B79756E-FB34-4DCB-BAF0-788BFF93A64D}" type="CELLRANGE">
                      <a:rPr lang="en-US"/>
                      <a:pPr/>
                      <a:t>[ДИАПАЗОН ЯЧЕЕК]</a:t>
                    </a:fld>
                    <a:r>
                      <a:rPr lang="en-US" baseline="0"/>
                      <a:t>; </a:t>
                    </a:r>
                    <a:fld id="{5130770F-EF89-48B0-899F-56BAD22DFE89}"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18B5400A-369A-4CFC-A500-95C45997D1AB}" type="CELLRANGE">
                      <a:rPr lang="en-US"/>
                      <a:pPr/>
                      <a:t>[ДИАПАЗОН ЯЧЕЕК]</a:t>
                    </a:fld>
                    <a:r>
                      <a:rPr lang="en-US" baseline="0"/>
                      <a:t>; </a:t>
                    </a:r>
                    <a:fld id="{9CD7C23E-3AFA-4BE1-B061-26787D85B996}" type="VALUE">
                      <a:rPr lang="en-US" baseline="0"/>
                      <a:pPr/>
                      <a:t>[ЗНАЧЕНИЕ]</a:t>
                    </a:fld>
                    <a:endParaRPr lang="en-US" baseline="0"/>
                  </a:p>
                </c:rich>
              </c:tx>
              <c:dLblPos val="inBase"/>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2019</c:v>
                </c:pt>
                <c:pt idx="1">
                  <c:v>2018</c:v>
                </c:pt>
                <c:pt idx="2">
                  <c:v>2017</c:v>
                </c:pt>
                <c:pt idx="3">
                  <c:v>2016</c:v>
                </c:pt>
                <c:pt idx="4">
                  <c:v>2015</c:v>
                </c:pt>
                <c:pt idx="5">
                  <c:v>2014</c:v>
                </c:pt>
              </c:numCache>
            </c:numRef>
          </c:cat>
          <c:val>
            <c:numRef>
              <c:f>Лист1!$C$2:$C$7</c:f>
              <c:numCache>
                <c:formatCode>General</c:formatCode>
                <c:ptCount val="6"/>
                <c:pt idx="0">
                  <c:v>226.29999999999998</c:v>
                </c:pt>
                <c:pt idx="1">
                  <c:v>442.3</c:v>
                </c:pt>
                <c:pt idx="2">
                  <c:v>256.2</c:v>
                </c:pt>
                <c:pt idx="3">
                  <c:v>236.9</c:v>
                </c:pt>
                <c:pt idx="4">
                  <c:v>236</c:v>
                </c:pt>
                <c:pt idx="5">
                  <c:v>248.1</c:v>
                </c:pt>
              </c:numCache>
            </c:numRef>
          </c:val>
          <c:extLst>
            <c:ext xmlns:c15="http://schemas.microsoft.com/office/drawing/2012/chart" uri="{02D57815-91ED-43cb-92C2-25804820EDAC}">
              <c15:datalabelsRange>
                <c15:f>Лист1!$C$9:$C$14</c15:f>
                <c15:dlblRangeCache>
                  <c:ptCount val="6"/>
                  <c:pt idx="0">
                    <c:v>7,4%</c:v>
                  </c:pt>
                  <c:pt idx="1">
                    <c:v>8,3%</c:v>
                  </c:pt>
                  <c:pt idx="2">
                    <c:v>7,9%</c:v>
                  </c:pt>
                  <c:pt idx="3">
                    <c:v>7,4%</c:v>
                  </c:pt>
                  <c:pt idx="4">
                    <c:v>6,7%</c:v>
                  </c:pt>
                  <c:pt idx="5">
                    <c:v>8,8%</c:v>
                  </c:pt>
                </c15:dlblRangeCache>
              </c15:datalabelsRange>
            </c:ext>
          </c:extLst>
        </c:ser>
        <c:ser>
          <c:idx val="2"/>
          <c:order val="2"/>
          <c:tx>
            <c:strRef>
              <c:f>Лист1!$D$1</c:f>
              <c:strCache>
                <c:ptCount val="1"/>
                <c:pt idx="0">
                  <c:v>Безвозмездные поступления</c:v>
                </c:pt>
              </c:strCache>
            </c:strRef>
          </c:tx>
          <c:spPr>
            <a:solidFill>
              <a:schemeClr val="accent3">
                <a:alpha val="70000"/>
              </a:schemeClr>
            </a:solidFill>
            <a:ln>
              <a:noFill/>
            </a:ln>
            <a:effectLst/>
          </c:spPr>
          <c:invertIfNegative val="0"/>
          <c:dLbls>
            <c:dLbl>
              <c:idx val="0"/>
              <c:layout/>
              <c:tx>
                <c:rich>
                  <a:bodyPr/>
                  <a:lstStyle/>
                  <a:p>
                    <a:fld id="{4254E865-3ADC-40D0-8543-A3EC7E0BA9F3}" type="CELLRANGE">
                      <a:rPr lang="en-US"/>
                      <a:pPr/>
                      <a:t>[ДИАПАЗОН ЯЧЕЕК]</a:t>
                    </a:fld>
                    <a:r>
                      <a:rPr lang="en-US" baseline="0"/>
                      <a:t>; </a:t>
                    </a:r>
                    <a:fld id="{205E942E-C7EA-4780-A090-F20DED9FEDFF}" type="VALUE">
                      <a:rPr lang="en-US" baseline="0"/>
                      <a:pPr/>
                      <a:t>[ЗНАЧЕНИЕ]</a:t>
                    </a:fld>
                    <a:endParaRPr lang="en-US" baseline="0"/>
                  </a:p>
                </c:rich>
              </c:tx>
              <c:dLblPos val="inEnd"/>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
              <c:layout/>
              <c:tx>
                <c:rich>
                  <a:bodyPr/>
                  <a:lstStyle/>
                  <a:p>
                    <a:fld id="{1A906C3A-BE08-41E0-B594-1D4CC27EB3B1}" type="CELLRANGE">
                      <a:rPr lang="en-US"/>
                      <a:pPr/>
                      <a:t>[ДИАПАЗОН ЯЧЕЕК]</a:t>
                    </a:fld>
                    <a:r>
                      <a:rPr lang="en-US" baseline="0"/>
                      <a:t>; </a:t>
                    </a:r>
                    <a:fld id="{C96A4FC0-9C85-47DE-B84C-3E7B13468787}" type="VALUE">
                      <a:rPr lang="en-US" baseline="0"/>
                      <a:pPr/>
                      <a:t>[ЗНАЧЕНИЕ]</a:t>
                    </a:fld>
                    <a:endParaRPr lang="en-US" baseline="0"/>
                  </a:p>
                </c:rich>
              </c:tx>
              <c:dLblPos val="inEnd"/>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F7738CA0-3DCD-4A76-BB9B-373CAF08FC48}" type="CELLRANGE">
                      <a:rPr lang="en-US"/>
                      <a:pPr/>
                      <a:t>[ДИАПАЗОН ЯЧЕЕК]</a:t>
                    </a:fld>
                    <a:r>
                      <a:rPr lang="en-US" baseline="0"/>
                      <a:t>; </a:t>
                    </a:r>
                    <a:fld id="{D3D8542D-07D8-4828-8FEA-598EAB13C444}" type="VALUE">
                      <a:rPr lang="en-US" baseline="0"/>
                      <a:pPr/>
                      <a:t>[ЗНАЧЕНИЕ]</a:t>
                    </a:fld>
                    <a:endParaRPr lang="en-US" baseline="0"/>
                  </a:p>
                </c:rich>
              </c:tx>
              <c:dLblPos val="inEnd"/>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FCB98312-A8BE-441F-9248-B1D44DEAF22C}" type="CELLRANGE">
                      <a:rPr lang="en-US"/>
                      <a:pPr/>
                      <a:t>[ДИАПАЗОН ЯЧЕЕК]</a:t>
                    </a:fld>
                    <a:r>
                      <a:rPr lang="en-US" baseline="0"/>
                      <a:t>; </a:t>
                    </a:r>
                    <a:fld id="{76DC4113-431E-457A-8CF3-D3CC9E197762}" type="VALUE">
                      <a:rPr lang="en-US" baseline="0"/>
                      <a:pPr/>
                      <a:t>[ЗНАЧЕНИЕ]</a:t>
                    </a:fld>
                    <a:endParaRPr lang="en-US" baseline="0"/>
                  </a:p>
                </c:rich>
              </c:tx>
              <c:dLblPos val="inEnd"/>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6792FE54-E147-4BAD-BF83-A203E654B568}" type="CELLRANGE">
                      <a:rPr lang="en-US"/>
                      <a:pPr/>
                      <a:t>[ДИАПАЗОН ЯЧЕЕК]</a:t>
                    </a:fld>
                    <a:r>
                      <a:rPr lang="en-US" baseline="0"/>
                      <a:t>; </a:t>
                    </a:r>
                    <a:fld id="{F1C54EC3-2468-4B6C-AB21-723BA9305CBC}" type="VALUE">
                      <a:rPr lang="en-US" baseline="0"/>
                      <a:pPr/>
                      <a:t>[ЗНАЧЕНИЕ]</a:t>
                    </a:fld>
                    <a:endParaRPr lang="en-US" baseline="0"/>
                  </a:p>
                </c:rich>
              </c:tx>
              <c:dLblPos val="inEnd"/>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ECE1FCE0-5269-4435-94D1-0E9F4ACB5E45}" type="CELLRANGE">
                      <a:rPr lang="en-US"/>
                      <a:pPr/>
                      <a:t>[ДИАПАЗОН ЯЧЕЕК]</a:t>
                    </a:fld>
                    <a:r>
                      <a:rPr lang="en-US" baseline="0"/>
                      <a:t>; </a:t>
                    </a:r>
                    <a:fld id="{B15A944D-2A79-47E8-B3B3-2F8566729EF4}" type="VALUE">
                      <a:rPr lang="en-US" baseline="0"/>
                      <a:pPr/>
                      <a:t>[ЗНАЧЕНИЕ]</a:t>
                    </a:fld>
                    <a:endParaRPr lang="en-US" baseline="0"/>
                  </a:p>
                </c:rich>
              </c:tx>
              <c:dLblPos val="inEnd"/>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2019</c:v>
                </c:pt>
                <c:pt idx="1">
                  <c:v>2018</c:v>
                </c:pt>
                <c:pt idx="2">
                  <c:v>2017</c:v>
                </c:pt>
                <c:pt idx="3">
                  <c:v>2016</c:v>
                </c:pt>
                <c:pt idx="4">
                  <c:v>2015</c:v>
                </c:pt>
                <c:pt idx="5">
                  <c:v>2014</c:v>
                </c:pt>
              </c:numCache>
            </c:numRef>
          </c:cat>
          <c:val>
            <c:numRef>
              <c:f>Лист1!$D$2:$D$7</c:f>
              <c:numCache>
                <c:formatCode>General</c:formatCode>
                <c:ptCount val="6"/>
                <c:pt idx="0">
                  <c:v>1873.1</c:v>
                </c:pt>
                <c:pt idx="1">
                  <c:v>4057.1</c:v>
                </c:pt>
                <c:pt idx="2">
                  <c:v>2179.1</c:v>
                </c:pt>
                <c:pt idx="3">
                  <c:v>2276.4</c:v>
                </c:pt>
                <c:pt idx="4">
                  <c:v>2463.1</c:v>
                </c:pt>
                <c:pt idx="5">
                  <c:v>1671.2</c:v>
                </c:pt>
              </c:numCache>
            </c:numRef>
          </c:val>
          <c:extLst>
            <c:ext xmlns:c15="http://schemas.microsoft.com/office/drawing/2012/chart" uri="{02D57815-91ED-43cb-92C2-25804820EDAC}">
              <c15:datalabelsRange>
                <c15:f>Лист1!$D$9:$D$14</c15:f>
                <c15:dlblRangeCache>
                  <c:ptCount val="6"/>
                  <c:pt idx="0">
                    <c:v>61,2%</c:v>
                  </c:pt>
                  <c:pt idx="1">
                    <c:v>75,9%</c:v>
                  </c:pt>
                  <c:pt idx="2">
                    <c:v>67,1%</c:v>
                  </c:pt>
                  <c:pt idx="3">
                    <c:v>71,4%</c:v>
                  </c:pt>
                  <c:pt idx="4">
                    <c:v>69,7%</c:v>
                  </c:pt>
                  <c:pt idx="5">
                    <c:v>59,5%</c:v>
                  </c:pt>
                </c15:dlblRangeCache>
              </c15:datalabelsRange>
            </c:ext>
          </c:extLst>
        </c:ser>
        <c:dLbls>
          <c:dLblPos val="ctr"/>
          <c:showLegendKey val="0"/>
          <c:showVal val="1"/>
          <c:showCatName val="0"/>
          <c:showSerName val="0"/>
          <c:showPercent val="0"/>
          <c:showBubbleSize val="0"/>
        </c:dLbls>
        <c:gapWidth val="50"/>
        <c:overlap val="100"/>
        <c:serLines>
          <c:spPr>
            <a:ln w="9525">
              <a:solidFill>
                <a:schemeClr val="tx1">
                  <a:lumMod val="35000"/>
                  <a:lumOff val="65000"/>
                </a:schemeClr>
              </a:solidFill>
              <a:round/>
            </a:ln>
            <a:effectLst/>
          </c:spPr>
        </c:serLines>
        <c:axId val="412653296"/>
        <c:axId val="412655536"/>
      </c:barChart>
      <c:catAx>
        <c:axId val="412653296"/>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655536"/>
        <c:crosses val="autoZero"/>
        <c:auto val="1"/>
        <c:lblAlgn val="ctr"/>
        <c:lblOffset val="100"/>
        <c:noMultiLvlLbl val="0"/>
      </c:catAx>
      <c:valAx>
        <c:axId val="412655536"/>
        <c:scaling>
          <c:orientation val="minMax"/>
          <c:max val="5500"/>
          <c:min val="0"/>
        </c:scaling>
        <c:delete val="0"/>
        <c:axPos val="b"/>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653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Структура расходов бюджета города Пыть-Яха за 2014-2019 годы, (млн. рублей)</a:t>
            </a:r>
            <a:endParaRPr lang="ru-RU"/>
          </a:p>
        </c:rich>
      </c:tx>
      <c:layout>
        <c:manualLayout>
          <c:xMode val="edge"/>
          <c:yMode val="edge"/>
          <c:x val="0.1170428418228325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0141248242220913E-2"/>
          <c:y val="0.12614079728583547"/>
          <c:w val="0.8978078773539635"/>
          <c:h val="0.66538251420862471"/>
        </c:manualLayout>
      </c:layout>
      <c:barChart>
        <c:barDir val="bar"/>
        <c:grouping val="stacked"/>
        <c:varyColors val="0"/>
        <c:ser>
          <c:idx val="0"/>
          <c:order val="0"/>
          <c:tx>
            <c:strRef>
              <c:f>Лист1!$A$2</c:f>
              <c:strCache>
                <c:ptCount val="1"/>
                <c:pt idx="0">
                  <c:v>Социальная сфера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Лист1!$B$1:$G$1</c:f>
              <c:strCache>
                <c:ptCount val="6"/>
                <c:pt idx="0">
                  <c:v>2014</c:v>
                </c:pt>
                <c:pt idx="1">
                  <c:v>2015</c:v>
                </c:pt>
                <c:pt idx="2">
                  <c:v>2016</c:v>
                </c:pt>
                <c:pt idx="3">
                  <c:v>2017</c:v>
                </c:pt>
                <c:pt idx="4">
                  <c:v>2018</c:v>
                </c:pt>
                <c:pt idx="5">
                  <c:v>2019</c:v>
                </c:pt>
              </c:strCache>
            </c:strRef>
          </c:cat>
          <c:val>
            <c:numRef>
              <c:f>Лист1!$B$2:$G$2</c:f>
              <c:numCache>
                <c:formatCode>General</c:formatCode>
                <c:ptCount val="6"/>
                <c:pt idx="0">
                  <c:v>1686.7</c:v>
                </c:pt>
                <c:pt idx="1">
                  <c:v>1852</c:v>
                </c:pt>
                <c:pt idx="2">
                  <c:v>1949.3</c:v>
                </c:pt>
                <c:pt idx="3">
                  <c:v>1662.8</c:v>
                </c:pt>
                <c:pt idx="4">
                  <c:v>1952.1</c:v>
                </c:pt>
                <c:pt idx="5">
                  <c:v>2067.6999999999998</c:v>
                </c:pt>
              </c:numCache>
            </c:numRef>
          </c:val>
        </c:ser>
        <c:ser>
          <c:idx val="1"/>
          <c:order val="1"/>
          <c:tx>
            <c:strRef>
              <c:f>Лист1!$A$3</c:f>
              <c:strCache>
                <c:ptCount val="1"/>
                <c:pt idx="0">
                  <c:v>Развитие отраслей экономики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Лист1!$B$1:$G$1</c:f>
              <c:strCache>
                <c:ptCount val="6"/>
                <c:pt idx="0">
                  <c:v>2014</c:v>
                </c:pt>
                <c:pt idx="1">
                  <c:v>2015</c:v>
                </c:pt>
                <c:pt idx="2">
                  <c:v>2016</c:v>
                </c:pt>
                <c:pt idx="3">
                  <c:v>2017</c:v>
                </c:pt>
                <c:pt idx="4">
                  <c:v>2018</c:v>
                </c:pt>
                <c:pt idx="5">
                  <c:v>2019</c:v>
                </c:pt>
              </c:strCache>
            </c:strRef>
          </c:cat>
          <c:val>
            <c:numRef>
              <c:f>Лист1!$B$3:$G$3</c:f>
              <c:numCache>
                <c:formatCode>General</c:formatCode>
                <c:ptCount val="6"/>
                <c:pt idx="0">
                  <c:v>282.2</c:v>
                </c:pt>
                <c:pt idx="1">
                  <c:v>286.8</c:v>
                </c:pt>
                <c:pt idx="2">
                  <c:v>302.3</c:v>
                </c:pt>
                <c:pt idx="3">
                  <c:v>288.7</c:v>
                </c:pt>
                <c:pt idx="4">
                  <c:v>216.5</c:v>
                </c:pt>
                <c:pt idx="5">
                  <c:v>261.5</c:v>
                </c:pt>
              </c:numCache>
            </c:numRef>
          </c:val>
        </c:ser>
        <c:ser>
          <c:idx val="2"/>
          <c:order val="2"/>
          <c:tx>
            <c:strRef>
              <c:f>Лист1!$A$4</c:f>
              <c:strCache>
                <c:ptCount val="1"/>
                <c:pt idx="0">
                  <c:v>Жилищно-коммунальное хозяйство</c:v>
                </c:pt>
              </c:strCache>
            </c:strRef>
          </c:tx>
          <c:spPr>
            <a:solidFill>
              <a:schemeClr val="accent3"/>
            </a:solidFill>
            <a:ln>
              <a:noFill/>
            </a:ln>
            <a:effectLst/>
          </c:spPr>
          <c:invertIfNegative val="0"/>
          <c:dLbls>
            <c:dLbl>
              <c:idx val="1"/>
              <c:layout>
                <c:manualLayout>
                  <c:x val="-5.040955451038419E-3"/>
                  <c:y val="-9.6517600371723872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7.4244307978250587E-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Лист1!$B$1:$G$1</c:f>
              <c:strCache>
                <c:ptCount val="6"/>
                <c:pt idx="0">
                  <c:v>2014</c:v>
                </c:pt>
                <c:pt idx="1">
                  <c:v>2015</c:v>
                </c:pt>
                <c:pt idx="2">
                  <c:v>2016</c:v>
                </c:pt>
                <c:pt idx="3">
                  <c:v>2017</c:v>
                </c:pt>
                <c:pt idx="4">
                  <c:v>2018</c:v>
                </c:pt>
                <c:pt idx="5">
                  <c:v>2019</c:v>
                </c:pt>
              </c:strCache>
            </c:strRef>
          </c:cat>
          <c:val>
            <c:numRef>
              <c:f>Лист1!$B$4:$G$4</c:f>
              <c:numCache>
                <c:formatCode>General</c:formatCode>
                <c:ptCount val="6"/>
                <c:pt idx="0">
                  <c:v>987.3</c:v>
                </c:pt>
                <c:pt idx="1">
                  <c:v>1120.8</c:v>
                </c:pt>
                <c:pt idx="2">
                  <c:v>536.1</c:v>
                </c:pt>
                <c:pt idx="3">
                  <c:v>627.30000000000007</c:v>
                </c:pt>
                <c:pt idx="4">
                  <c:v>1263.4000000000001</c:v>
                </c:pt>
                <c:pt idx="5">
                  <c:v>249.5</c:v>
                </c:pt>
              </c:numCache>
            </c:numRef>
          </c:val>
        </c:ser>
        <c:ser>
          <c:idx val="3"/>
          <c:order val="3"/>
          <c:tx>
            <c:strRef>
              <c:f>Лист1!$A$5</c:f>
              <c:strCache>
                <c:ptCount val="1"/>
                <c:pt idx="0">
                  <c:v>Остальные расходы</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Лист1!$B$1:$G$1</c:f>
              <c:strCache>
                <c:ptCount val="6"/>
                <c:pt idx="0">
                  <c:v>2014</c:v>
                </c:pt>
                <c:pt idx="1">
                  <c:v>2015</c:v>
                </c:pt>
                <c:pt idx="2">
                  <c:v>2016</c:v>
                </c:pt>
                <c:pt idx="3">
                  <c:v>2017</c:v>
                </c:pt>
                <c:pt idx="4">
                  <c:v>2018</c:v>
                </c:pt>
                <c:pt idx="5">
                  <c:v>2019</c:v>
                </c:pt>
              </c:strCache>
            </c:strRef>
          </c:cat>
          <c:val>
            <c:numRef>
              <c:f>Лист1!$B$5:$G$5</c:f>
              <c:numCache>
                <c:formatCode>General</c:formatCode>
                <c:ptCount val="6"/>
                <c:pt idx="0">
                  <c:v>378.1</c:v>
                </c:pt>
                <c:pt idx="1">
                  <c:v>378.2</c:v>
                </c:pt>
                <c:pt idx="2">
                  <c:v>421.4</c:v>
                </c:pt>
                <c:pt idx="3">
                  <c:v>499.3</c:v>
                </c:pt>
                <c:pt idx="4">
                  <c:v>531.6</c:v>
                </c:pt>
                <c:pt idx="5">
                  <c:v>533.5</c:v>
                </c:pt>
              </c:numCache>
            </c:numRef>
          </c:val>
        </c:ser>
        <c:dLbls>
          <c:dLblPos val="ctr"/>
          <c:showLegendKey val="0"/>
          <c:showVal val="1"/>
          <c:showCatName val="0"/>
          <c:showSerName val="0"/>
          <c:showPercent val="0"/>
          <c:showBubbleSize val="0"/>
        </c:dLbls>
        <c:gapWidth val="100"/>
        <c:overlap val="100"/>
        <c:serLines>
          <c:spPr>
            <a:ln w="9525" cap="flat" cmpd="sng" algn="ctr">
              <a:solidFill>
                <a:schemeClr val="tx1">
                  <a:lumMod val="35000"/>
                  <a:lumOff val="65000"/>
                </a:schemeClr>
              </a:solidFill>
              <a:round/>
            </a:ln>
            <a:effectLst/>
          </c:spPr>
        </c:serLines>
        <c:axId val="412640976"/>
        <c:axId val="412647136"/>
      </c:barChart>
      <c:catAx>
        <c:axId val="412640976"/>
        <c:scaling>
          <c:orientation val="minMax"/>
        </c:scaling>
        <c:delete val="0"/>
        <c:axPos val="l"/>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12647136"/>
        <c:crosses val="autoZero"/>
        <c:auto val="1"/>
        <c:lblAlgn val="ctr"/>
        <c:lblOffset val="100"/>
        <c:noMultiLvlLbl val="0"/>
      </c:catAx>
      <c:valAx>
        <c:axId val="41264713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6409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25217006471853"/>
          <c:y val="0.12087679285807815"/>
          <c:w val="0.85128197038809217"/>
          <c:h val="0.49320575963861091"/>
        </c:manualLayout>
      </c:layout>
      <c:barChart>
        <c:barDir val="col"/>
        <c:grouping val="clustered"/>
        <c:varyColors val="0"/>
        <c:ser>
          <c:idx val="0"/>
          <c:order val="0"/>
          <c:tx>
            <c:strRef>
              <c:f>Лист1!$B$1</c:f>
              <c:strCache>
                <c:ptCount val="1"/>
                <c:pt idx="0">
                  <c:v>Расходы всего, млн. руб.</c:v>
                </c:pt>
              </c:strCache>
            </c:strRef>
          </c:tx>
          <c:spPr>
            <a:solidFill>
              <a:schemeClr val="accent1"/>
            </a:solidFill>
            <a:ln>
              <a:noFill/>
            </a:ln>
            <a:effectLst/>
          </c:spPr>
          <c:invertIfNegative val="0"/>
          <c:dLbls>
            <c:dLbl>
              <c:idx val="0"/>
              <c:layout>
                <c:manualLayout>
                  <c:x val="-1.9169329073482427E-2"/>
                  <c:y val="0.3229203300260113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4909478168264111E-2"/>
                  <c:y val="0.305025010887092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169329073482507E-2"/>
                  <c:y val="0.280674646610877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169329073482427E-2"/>
                  <c:y val="0.285690006238009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909478168264189E-2"/>
                  <c:y val="0.325204147687817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9169329073482427E-2"/>
                  <c:y val="0.247200310723491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3334.3</c:v>
                </c:pt>
                <c:pt idx="1">
                  <c:v>3637.8</c:v>
                </c:pt>
                <c:pt idx="2">
                  <c:v>3209.1</c:v>
                </c:pt>
                <c:pt idx="3">
                  <c:v>3078.1</c:v>
                </c:pt>
                <c:pt idx="4">
                  <c:v>3963.6</c:v>
                </c:pt>
                <c:pt idx="5">
                  <c:v>3112.2</c:v>
                </c:pt>
              </c:numCache>
            </c:numRef>
          </c:val>
        </c:ser>
        <c:ser>
          <c:idx val="1"/>
          <c:order val="1"/>
          <c:tx>
            <c:strRef>
              <c:f>Лист1!$C$1</c:f>
              <c:strCache>
                <c:ptCount val="1"/>
                <c:pt idx="0">
                  <c:v>в том числе расходы на социальную сферу, млн. руб.</c:v>
                </c:pt>
              </c:strCache>
            </c:strRef>
          </c:tx>
          <c:spPr>
            <a:solidFill>
              <a:schemeClr val="accent2"/>
            </a:solidFill>
            <a:ln>
              <a:noFill/>
            </a:ln>
            <a:effectLst/>
          </c:spPr>
          <c:invertIfNegative val="0"/>
          <c:dLbls>
            <c:dLbl>
              <c:idx val="0"/>
              <c:layout>
                <c:manualLayout>
                  <c:x val="1.0649627263045794E-2"/>
                  <c:y val="0.166476701623059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779552715654873E-2"/>
                  <c:y val="0.1946414321528194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779552715654952E-2"/>
                  <c:y val="0.1982604192413168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779552715654952E-2"/>
                  <c:y val="0.1819577933924178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779552715654952E-2"/>
                  <c:y val="0.198536304038228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2779552715654952E-2"/>
                  <c:y val="0.209939385379518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1687.7</c:v>
                </c:pt>
                <c:pt idx="1">
                  <c:v>1852</c:v>
                </c:pt>
                <c:pt idx="2">
                  <c:v>1949.3</c:v>
                </c:pt>
                <c:pt idx="3">
                  <c:v>1662.8</c:v>
                </c:pt>
                <c:pt idx="4">
                  <c:v>1952.1</c:v>
                </c:pt>
                <c:pt idx="5">
                  <c:v>2067.6999999999998</c:v>
                </c:pt>
              </c:numCache>
            </c:numRef>
          </c:val>
        </c:ser>
        <c:dLbls>
          <c:dLblPos val="ctr"/>
          <c:showLegendKey val="0"/>
          <c:showVal val="1"/>
          <c:showCatName val="0"/>
          <c:showSerName val="0"/>
          <c:showPercent val="0"/>
          <c:showBubbleSize val="0"/>
        </c:dLbls>
        <c:gapWidth val="219"/>
        <c:axId val="475819936"/>
        <c:axId val="475820496"/>
      </c:barChart>
      <c:lineChart>
        <c:grouping val="standard"/>
        <c:varyColors val="0"/>
        <c:ser>
          <c:idx val="2"/>
          <c:order val="2"/>
          <c:tx>
            <c:strRef>
              <c:f>Лист1!$D$1</c:f>
              <c:strCache>
                <c:ptCount val="1"/>
                <c:pt idx="0">
                  <c:v>Удельный вес расходов на социальную сферу в общем объме расходов, %</c:v>
                </c:pt>
              </c:strCache>
            </c:strRef>
          </c:tx>
          <c:spPr>
            <a:ln w="28575" cap="rnd">
              <a:solidFill>
                <a:schemeClr val="accent3"/>
              </a:solidFill>
              <a:round/>
            </a:ln>
            <a:effectLst/>
          </c:spPr>
          <c:marker>
            <c:symbol val="square"/>
            <c:size val="7"/>
            <c:spPr>
              <a:solidFill>
                <a:schemeClr val="accent3"/>
              </a:solidFill>
              <a:ln w="9525">
                <a:solidFill>
                  <a:schemeClr val="accent3"/>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Лист1!$D$2:$D$7</c:f>
              <c:numCache>
                <c:formatCode>General</c:formatCode>
                <c:ptCount val="6"/>
                <c:pt idx="0">
                  <c:v>50.616</c:v>
                </c:pt>
                <c:pt idx="1">
                  <c:v>50.91</c:v>
                </c:pt>
                <c:pt idx="2">
                  <c:v>60.743000000000002</c:v>
                </c:pt>
                <c:pt idx="3">
                  <c:v>54.02</c:v>
                </c:pt>
                <c:pt idx="4">
                  <c:v>49.250999999999998</c:v>
                </c:pt>
                <c:pt idx="5">
                  <c:v>66.438999999999993</c:v>
                </c:pt>
              </c:numCache>
            </c:numRef>
          </c:val>
          <c:smooth val="0"/>
        </c:ser>
        <c:ser>
          <c:idx val="3"/>
          <c:order val="3"/>
          <c:tx>
            <c:strRef>
              <c:f>Лист1!$E$1</c:f>
              <c:strCache>
                <c:ptCount val="1"/>
                <c:pt idx="0">
                  <c:v>Расходы бюджета на соц. сферу в расчете на 1 жителя, тыс. руб.</c:v>
                </c:pt>
              </c:strCache>
            </c:strRef>
          </c:tx>
          <c:spPr>
            <a:ln w="28575" cap="rnd">
              <a:solidFill>
                <a:schemeClr val="accent4"/>
              </a:solidFill>
              <a:round/>
            </a:ln>
            <a:effectLst/>
          </c:spPr>
          <c:marker>
            <c:symbol val="triangle"/>
            <c:size val="10"/>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Лист1!$E$2:$E$7</c:f>
              <c:numCache>
                <c:formatCode>0.0</c:formatCode>
                <c:ptCount val="6"/>
                <c:pt idx="0">
                  <c:v>41.163414634146342</c:v>
                </c:pt>
                <c:pt idx="1">
                  <c:v>45.270105108775361</c:v>
                </c:pt>
                <c:pt idx="2">
                  <c:v>47.718482252141982</c:v>
                </c:pt>
                <c:pt idx="3">
                  <c:v>40.804907975460118</c:v>
                </c:pt>
                <c:pt idx="4">
                  <c:v>48.826913456728363</c:v>
                </c:pt>
                <c:pt idx="5">
                  <c:v>51.0417180942977</c:v>
                </c:pt>
              </c:numCache>
            </c:numRef>
          </c:val>
          <c:smooth val="0"/>
        </c:ser>
        <c:dLbls>
          <c:showLegendKey val="0"/>
          <c:showVal val="0"/>
          <c:showCatName val="0"/>
          <c:showSerName val="0"/>
          <c:showPercent val="0"/>
          <c:showBubbleSize val="0"/>
        </c:dLbls>
        <c:marker val="1"/>
        <c:smooth val="0"/>
        <c:axId val="475826656"/>
        <c:axId val="475822736"/>
      </c:lineChart>
      <c:catAx>
        <c:axId val="475819936"/>
        <c:scaling>
          <c:orientation val="minMax"/>
        </c:scaling>
        <c:delete val="0"/>
        <c:axPos val="b"/>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ru-RU"/>
          </a:p>
        </c:txPr>
        <c:crossAx val="475820496"/>
        <c:crosses val="autoZero"/>
        <c:auto val="1"/>
        <c:lblAlgn val="ctr"/>
        <c:lblOffset val="100"/>
        <c:noMultiLvlLbl val="0"/>
      </c:catAx>
      <c:valAx>
        <c:axId val="47582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475819936"/>
        <c:crosses val="autoZero"/>
        <c:crossBetween val="between"/>
      </c:valAx>
      <c:valAx>
        <c:axId val="475822736"/>
        <c:scaling>
          <c:orientation val="minMax"/>
          <c:max val="70"/>
          <c:min val="15"/>
        </c:scaling>
        <c:delete val="0"/>
        <c:axPos val="r"/>
        <c:numFmt formatCode="General" sourceLinked="1"/>
        <c:majorTickMark val="out"/>
        <c:minorTickMark val="none"/>
        <c:tickLblPos val="nextTo"/>
        <c:spPr>
          <a:noFill/>
          <a:ln>
            <a:noFill/>
          </a:ln>
          <a:effectLst/>
        </c:spPr>
        <c:txPr>
          <a:bodyPr rot="0" spcFirstLastPara="1" vertOverflow="ellipsis" wrap="square" anchor="ctr" anchorCtr="1"/>
          <a:lstStyle/>
          <a:p>
            <a:pPr>
              <a:defRPr sz="800" b="0" i="0" u="none" strike="noStrike" kern="1200" baseline="0">
                <a:solidFill>
                  <a:schemeClr val="bg1"/>
                </a:solidFill>
                <a:latin typeface="+mn-lt"/>
                <a:ea typeface="+mn-ea"/>
                <a:cs typeface="+mn-cs"/>
              </a:defRPr>
            </a:pPr>
            <a:endParaRPr lang="ru-RU"/>
          </a:p>
        </c:txPr>
        <c:crossAx val="475826656"/>
        <c:crosses val="max"/>
        <c:crossBetween val="between"/>
      </c:valAx>
      <c:catAx>
        <c:axId val="475826656"/>
        <c:scaling>
          <c:orientation val="minMax"/>
        </c:scaling>
        <c:delete val="1"/>
        <c:axPos val="b"/>
        <c:numFmt formatCode="General" sourceLinked="1"/>
        <c:majorTickMark val="out"/>
        <c:minorTickMark val="none"/>
        <c:tickLblPos val="nextTo"/>
        <c:crossAx val="475822736"/>
        <c:crosses val="autoZero"/>
        <c:auto val="1"/>
        <c:lblAlgn val="ctr"/>
        <c:lblOffset val="100"/>
        <c:noMultiLvlLbl val="0"/>
      </c:catAx>
      <c:spPr>
        <a:noFill/>
        <a:ln>
          <a:noFill/>
        </a:ln>
        <a:effectLst/>
      </c:spPr>
    </c:plotArea>
    <c:legend>
      <c:legendPos val="b"/>
      <c:layout>
        <c:manualLayout>
          <c:xMode val="edge"/>
          <c:yMode val="edge"/>
          <c:x val="0"/>
          <c:y val="0.68642694793456105"/>
          <c:w val="0.99815247634947135"/>
          <c:h val="0.2738609646988467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sz="800"/>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t>Структура программных направлений расходов бюджета города Пыть-Яха в 2014-2019 годах</a:t>
            </a:r>
            <a:endParaRPr lang="ru-RU"/>
          </a:p>
        </c:rich>
      </c:tx>
      <c:layout>
        <c:manualLayout>
          <c:xMode val="edge"/>
          <c:yMode val="edge"/>
          <c:x val="0.14951145599553681"/>
          <c:y val="3.96825396825396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1939712849903424"/>
          <c:y val="0.16808362369337976"/>
          <c:w val="0.85698505078169573"/>
          <c:h val="0.64453711286089244"/>
        </c:manualLayout>
      </c:layout>
      <c:barChart>
        <c:barDir val="col"/>
        <c:grouping val="stacked"/>
        <c:varyColors val="0"/>
        <c:ser>
          <c:idx val="0"/>
          <c:order val="0"/>
          <c:tx>
            <c:strRef>
              <c:f>Лист1!$B$1</c:f>
              <c:strCache>
                <c:ptCount val="1"/>
                <c:pt idx="0">
                  <c:v>программные расходы</c:v>
                </c:pt>
              </c:strCache>
            </c:strRef>
          </c:tx>
          <c:spPr>
            <a:solidFill>
              <a:schemeClr val="accent2"/>
            </a:solidFill>
            <a:ln>
              <a:noFill/>
            </a:ln>
            <a:effectLst/>
          </c:spPr>
          <c:invertIfNegative val="0"/>
          <c:dLbls>
            <c:dLbl>
              <c:idx val="0"/>
              <c:layout/>
              <c:tx>
                <c:rich>
                  <a:bodyPr/>
                  <a:lstStyle/>
                  <a:p>
                    <a:fld id="{6D6AA85A-A3D0-4262-ACAE-6944799CEE81}"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tx>
                <c:rich>
                  <a:bodyPr/>
                  <a:lstStyle/>
                  <a:p>
                    <a:fld id="{3B66A86E-396E-4F58-800E-8317A85497A4}"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196D6DD0-590E-473D-9CB5-D1B7F733DC0C}"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1C944764-9C70-4163-AFD3-DAAB1F393662}"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C9F5684E-A0AC-4ECE-9182-EA34FA8C1FDF}"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D4BABA8C-AF02-432C-9F7C-F57B1097C9C7}"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 ##0.0</c:formatCode>
                <c:ptCount val="6"/>
                <c:pt idx="0">
                  <c:v>2706058.8</c:v>
                </c:pt>
                <c:pt idx="1">
                  <c:v>3486196.2</c:v>
                </c:pt>
                <c:pt idx="2">
                  <c:v>3154881</c:v>
                </c:pt>
                <c:pt idx="3">
                  <c:v>3036626.7</c:v>
                </c:pt>
                <c:pt idx="4">
                  <c:v>3924287.6</c:v>
                </c:pt>
                <c:pt idx="5">
                  <c:v>3070363.6</c:v>
                </c:pt>
              </c:numCache>
            </c:numRef>
          </c:val>
          <c:extLst>
            <c:ext xmlns:c15="http://schemas.microsoft.com/office/drawing/2012/chart" uri="{02D57815-91ED-43cb-92C2-25804820EDAC}">
              <c15:datalabelsRange>
                <c15:f>Лист1!$G$2:$G$7</c15:f>
                <c15:dlblRangeCache>
                  <c:ptCount val="6"/>
                  <c:pt idx="0">
                    <c:v>81,2%</c:v>
                  </c:pt>
                  <c:pt idx="1">
                    <c:v>95,8%</c:v>
                  </c:pt>
                  <c:pt idx="2">
                    <c:v>98,3%</c:v>
                  </c:pt>
                  <c:pt idx="3">
                    <c:v>98,7%</c:v>
                  </c:pt>
                  <c:pt idx="4">
                    <c:v>99,0%</c:v>
                  </c:pt>
                  <c:pt idx="5">
                    <c:v>98,7%</c:v>
                  </c:pt>
                </c15:dlblRangeCache>
              </c15:datalabelsRange>
            </c:ext>
          </c:extLst>
        </c:ser>
        <c:ser>
          <c:idx val="1"/>
          <c:order val="1"/>
          <c:tx>
            <c:strRef>
              <c:f>Лист1!$C$1</c:f>
              <c:strCache>
                <c:ptCount val="1"/>
                <c:pt idx="0">
                  <c:v>непрограммные расходы</c:v>
                </c:pt>
              </c:strCache>
            </c:strRef>
          </c:tx>
          <c:spPr>
            <a:solidFill>
              <a:schemeClr val="accent4"/>
            </a:solidFill>
            <a:ln>
              <a:noFill/>
            </a:ln>
            <a:effectLst/>
          </c:spPr>
          <c:invertIfNegative val="0"/>
          <c:dLbls>
            <c:dLbl>
              <c:idx val="0"/>
              <c:layout/>
              <c:tx>
                <c:rich>
                  <a:bodyPr/>
                  <a:lstStyle/>
                  <a:p>
                    <a:fld id="{578E2F20-0F49-4996-8CAC-EDA6212425E7}" type="CELLRANGE">
                      <a:rPr lang="en-US"/>
                      <a:pPr/>
                      <a:t>[ДИАПАЗОН ЯЧЕЕК]</a:t>
                    </a:fld>
                    <a:endParaRPr lang="ru-RU"/>
                  </a:p>
                </c:rich>
              </c:tx>
              <c:dLblPos val="inBase"/>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tx>
                <c:rich>
                  <a:bodyPr/>
                  <a:lstStyle/>
                  <a:p>
                    <a:fld id="{91C16A42-64C2-473D-A75D-EC98867329B4}" type="CELLRANGE">
                      <a:rPr lang="ru-RU"/>
                      <a:pPr/>
                      <a:t>[ДИАПАЗОН ЯЧЕЕК]</a:t>
                    </a:fld>
                    <a:endParaRPr lang="ru-RU"/>
                  </a:p>
                </c:rich>
              </c:tx>
              <c:dLblPos val="inBase"/>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94066FAD-785E-4E57-BAE2-C6787590C05C}" type="CELLRANGE">
                      <a:rPr lang="ru-RU"/>
                      <a:pPr/>
                      <a:t>[ДИАПАЗОН ЯЧЕЕК]</a:t>
                    </a:fld>
                    <a:endParaRPr lang="ru-RU"/>
                  </a:p>
                </c:rich>
              </c:tx>
              <c:dLblPos val="inBase"/>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E7BC613C-08AC-48AF-9B54-B482DD5AB078}" type="CELLRANGE">
                      <a:rPr lang="ru-RU"/>
                      <a:pPr/>
                      <a:t>[ДИАПАЗОН ЯЧЕЕК]</a:t>
                    </a:fld>
                    <a:endParaRPr lang="ru-RU"/>
                  </a:p>
                </c:rich>
              </c:tx>
              <c:dLblPos val="inBase"/>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58889234-98F6-45A3-BCBA-8965CCD93000}" type="CELLRANGE">
                      <a:rPr lang="ru-RU"/>
                      <a:pPr/>
                      <a:t>[ДИАПАЗОН ЯЧЕЕК]</a:t>
                    </a:fld>
                    <a:endParaRPr lang="ru-RU"/>
                  </a:p>
                </c:rich>
              </c:tx>
              <c:dLblPos val="inBase"/>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3E034F27-66B3-4A5A-B878-87E83A47D30C}" type="CELLRANGE">
                      <a:rPr lang="ru-RU"/>
                      <a:pPr/>
                      <a:t>[ДИАПАЗОН ЯЧЕЕК]</a:t>
                    </a:fld>
                    <a:endParaRPr lang="ru-RU"/>
                  </a:p>
                </c:rich>
              </c:tx>
              <c:dLblPos val="inBase"/>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 ##0.0</c:formatCode>
                <c:ptCount val="6"/>
                <c:pt idx="0">
                  <c:v>628246.4</c:v>
                </c:pt>
                <c:pt idx="1">
                  <c:v>151625.70000000001</c:v>
                </c:pt>
                <c:pt idx="2">
                  <c:v>54226.400000000001</c:v>
                </c:pt>
                <c:pt idx="3">
                  <c:v>41430</c:v>
                </c:pt>
                <c:pt idx="4">
                  <c:v>39343.300000000003</c:v>
                </c:pt>
                <c:pt idx="5">
                  <c:v>41832.800000000003</c:v>
                </c:pt>
              </c:numCache>
            </c:numRef>
          </c:val>
          <c:extLst>
            <c:ext xmlns:c15="http://schemas.microsoft.com/office/drawing/2012/chart" uri="{02D57815-91ED-43cb-92C2-25804820EDAC}">
              <c15:datalabelsRange>
                <c15:f>Лист1!$H$2:$H$7</c15:f>
                <c15:dlblRangeCache>
                  <c:ptCount val="6"/>
                  <c:pt idx="0">
                    <c:v>18,8%</c:v>
                  </c:pt>
                  <c:pt idx="1">
                    <c:v>4,2%</c:v>
                  </c:pt>
                  <c:pt idx="2">
                    <c:v>1,7%</c:v>
                  </c:pt>
                  <c:pt idx="3">
                    <c:v>1,3%</c:v>
                  </c:pt>
                  <c:pt idx="4">
                    <c:v>1,0%</c:v>
                  </c:pt>
                  <c:pt idx="5">
                    <c:v>1,3%</c:v>
                  </c:pt>
                </c15:dlblRangeCache>
              </c15:datalabelsRange>
            </c:ext>
          </c:extLst>
        </c:ser>
        <c:dLbls>
          <c:showLegendKey val="0"/>
          <c:showVal val="0"/>
          <c:showCatName val="0"/>
          <c:showSerName val="0"/>
          <c:showPercent val="0"/>
          <c:showBubbleSize val="0"/>
        </c:dLbls>
        <c:gapWidth val="96"/>
        <c:axId val="475818256"/>
        <c:axId val="475828336"/>
      </c:barChart>
      <c:catAx>
        <c:axId val="47581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5828336"/>
        <c:crosses val="autoZero"/>
        <c:auto val="1"/>
        <c:lblAlgn val="ctr"/>
        <c:lblOffset val="100"/>
        <c:noMultiLvlLbl val="0"/>
      </c:catAx>
      <c:valAx>
        <c:axId val="475828336"/>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5818256"/>
        <c:crosses val="autoZero"/>
        <c:crossBetween val="between"/>
      </c:valAx>
      <c:spPr>
        <a:noFill/>
        <a:ln>
          <a:noFill/>
        </a:ln>
        <a:effectLst/>
      </c:spPr>
    </c:plotArea>
    <c:legend>
      <c:legendPos val="b"/>
      <c:layout>
        <c:manualLayout>
          <c:xMode val="edge"/>
          <c:yMode val="edge"/>
          <c:x val="0.23502977586738855"/>
          <c:y val="0.90999937007874021"/>
          <c:w val="0.52994027920422992"/>
          <c:h val="9.00008748906386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sz="1400" b="0" i="0" u="none" strike="noStrike" cap="none" baseline="0">
                <a:effectLst/>
              </a:rPr>
              <a:t>Структура программных направлений расходов бюджета города Пыть-Яха в 2018 году по отраслевым направлениям</a:t>
            </a:r>
            <a:endParaRPr lang="ru-RU" sz="1400" cap="none"/>
          </a:p>
        </c:rich>
      </c:tx>
      <c:layout>
        <c:manualLayout>
          <c:xMode val="edge"/>
          <c:yMode val="edge"/>
          <c:x val="0.13774533037739214"/>
          <c:y val="0"/>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20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352275140364729E-2"/>
          <c:y val="0.16996039617185257"/>
          <c:w val="0.90271029228142596"/>
          <c:h val="0.77621072175138417"/>
        </c:manualLayout>
      </c:layout>
      <c:pie3DChart>
        <c:varyColors val="1"/>
        <c:ser>
          <c:idx val="1"/>
          <c:order val="1"/>
          <c:tx>
            <c:strRef>
              <c:f>Лист1!$C$1</c:f>
              <c:strCache>
                <c:ptCount val="1"/>
                <c:pt idx="0">
                  <c:v>2018</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Lbls>
            <c:dLbl>
              <c:idx val="0"/>
              <c:numFmt formatCode="0.0%" sourceLinked="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accent1"/>
                      </a:solidFill>
                      <a:effectLst/>
                      <a:latin typeface="+mn-lt"/>
                      <a:ea typeface="+mn-ea"/>
                      <a:cs typeface="+mn-cs"/>
                    </a:defRPr>
                  </a:pPr>
                  <a:endParaRPr lang="ru-RU"/>
                </a:p>
              </c:txPr>
              <c:dLblPos val="bestFit"/>
              <c:showLegendKey val="0"/>
              <c:showVal val="0"/>
              <c:showCatName val="1"/>
              <c:showSerName val="0"/>
              <c:showPercent val="1"/>
              <c:showBubbleSize val="0"/>
            </c:dLbl>
            <c:dLbl>
              <c:idx val="1"/>
              <c:numFmt formatCode="0.0%" sourceLinked="0"/>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accent2"/>
                      </a:solidFill>
                      <a:effectLst/>
                      <a:latin typeface="+mn-lt"/>
                      <a:ea typeface="+mn-ea"/>
                      <a:cs typeface="+mn-cs"/>
                    </a:defRPr>
                  </a:pPr>
                  <a:endParaRPr lang="ru-RU"/>
                </a:p>
              </c:txPr>
              <c:dLblPos val="bestFit"/>
              <c:showLegendKey val="0"/>
              <c:showVal val="0"/>
              <c:showCatName val="1"/>
              <c:showSerName val="0"/>
              <c:showPercent val="1"/>
              <c:showBubbleSize val="0"/>
            </c:dLbl>
            <c:dLbl>
              <c:idx val="2"/>
              <c:numFmt formatCode="0.0%" sourceLinked="0"/>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accent3"/>
                      </a:solidFill>
                      <a:effectLst/>
                      <a:latin typeface="+mn-lt"/>
                      <a:ea typeface="+mn-ea"/>
                      <a:cs typeface="+mn-cs"/>
                    </a:defRPr>
                  </a:pPr>
                  <a:endParaRPr lang="ru-RU"/>
                </a:p>
              </c:txPr>
              <c:dLblPos val="bestFit"/>
              <c:showLegendKey val="0"/>
              <c:showVal val="0"/>
              <c:showCatName val="1"/>
              <c:showSerName val="0"/>
              <c:showPercent val="1"/>
              <c:showBubbleSize val="0"/>
            </c:dLbl>
            <c:dLbl>
              <c:idx val="3"/>
              <c:numFmt formatCode="0.0%" sourceLinked="0"/>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accent4"/>
                      </a:solidFill>
                      <a:effectLst/>
                      <a:latin typeface="+mn-lt"/>
                      <a:ea typeface="+mn-ea"/>
                      <a:cs typeface="+mn-cs"/>
                    </a:defRPr>
                  </a:pPr>
                  <a:endParaRPr lang="ru-RU"/>
                </a:p>
              </c:txPr>
              <c:dLblPos val="bestFit"/>
              <c:showLegendKey val="0"/>
              <c:showVal val="0"/>
              <c:showCatName val="1"/>
              <c:showSerName val="0"/>
              <c:showPercent val="1"/>
              <c:showBubbleSize val="0"/>
            </c:dLbl>
            <c:numFmt formatCode="0.0%" sourceLinked="0"/>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accent2"/>
                    </a:solidFill>
                    <a:effectLst/>
                    <a:latin typeface="+mn-lt"/>
                    <a:ea typeface="+mn-ea"/>
                    <a:cs typeface="+mn-cs"/>
                  </a:defRPr>
                </a:pPr>
                <a:endParaRPr lang="ru-RU"/>
              </a:p>
            </c:txPr>
            <c:dLblPos val="bestFit"/>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4"/>
                <c:pt idx="0">
                  <c:v>I. Социально-культурная сфера (5 программ)</c:v>
                </c:pt>
                <c:pt idx="1">
                  <c:v>II. Жилищно-коммунальная сфера (3 программы)</c:v>
                </c:pt>
                <c:pt idx="2">
                  <c:v>III. Развитие отраслей экономики (5 программ)</c:v>
                </c:pt>
                <c:pt idx="3">
                  <c:v>IV. Иные направления (8 программ)</c:v>
                </c:pt>
              </c:strCache>
            </c:strRef>
          </c:cat>
          <c:val>
            <c:numRef>
              <c:f>Лист1!$C$2:$C$5</c:f>
              <c:numCache>
                <c:formatCode>#\ ##0.0</c:formatCode>
                <c:ptCount val="4"/>
                <c:pt idx="0">
                  <c:v>1874823.0999999999</c:v>
                </c:pt>
                <c:pt idx="1">
                  <c:v>1311008.3</c:v>
                </c:pt>
                <c:pt idx="2">
                  <c:v>217220.9</c:v>
                </c:pt>
                <c:pt idx="3">
                  <c:v>521235.3</c:v>
                </c:pt>
              </c:numCache>
            </c:numRef>
          </c:val>
        </c:ser>
        <c:dLbls>
          <c:dLblPos val="inEnd"/>
          <c:showLegendKey val="0"/>
          <c:showVal val="0"/>
          <c:showCatName val="1"/>
          <c:showSerName val="0"/>
          <c:showPercent val="0"/>
          <c:showBubbleSize val="0"/>
          <c:showLeaderLines val="1"/>
        </c:dLbls>
        <c:extLst>
          <c:ext xmlns:c15="http://schemas.microsoft.com/office/drawing/2012/chart" uri="{02D57815-91ED-43cb-92C2-25804820EDAC}">
            <c15:filteredPieSeries>
              <c15:ser>
                <c:idx val="0"/>
                <c:order val="0"/>
                <c:tx>
                  <c:strRef>
                    <c:extLst>
                      <c:ext uri="{02D57815-91ED-43cb-92C2-25804820EDAC}">
                        <c15:formulaRef>
                          <c15:sqref>Лист1!$B$1</c15:sqref>
                        </c15:formulaRef>
                      </c:ext>
                    </c:extLst>
                    <c:strCache>
                      <c:ptCount val="1"/>
                      <c:pt idx="0">
                        <c:v>2017</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Lbls>
                  <c:dLbl>
                    <c:idx val="0"/>
                    <c:numFmt formatCode="0.0%" sourceLinked="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dLbl>
                  <c:dLbl>
                    <c:idx val="1"/>
                    <c:numFmt formatCode="0.0%" sourceLinked="0"/>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dLbl>
                  <c:dLbl>
                    <c:idx val="2"/>
                    <c:numFmt formatCode="0.0%" sourceLinked="0"/>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inEnd"/>
                    <c:showLegendKey val="0"/>
                    <c:showVal val="0"/>
                    <c:showCatName val="1"/>
                    <c:showSerName val="0"/>
                    <c:showPercent val="1"/>
                    <c:showBubbleSize val="0"/>
                  </c:dLbl>
                  <c:dLbl>
                    <c:idx val="3"/>
                    <c:numFmt formatCode="0.0%" sourceLinked="0"/>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ru-RU"/>
                      </a:p>
                    </c:txPr>
                    <c:dLblPos val="inEnd"/>
                    <c:showLegendKey val="0"/>
                    <c:showVal val="0"/>
                    <c:showCatName val="1"/>
                    <c:showSerName val="0"/>
                    <c:showPercent val="1"/>
                    <c:showBubbleSize val="0"/>
                  </c:dLbl>
                  <c:numFmt formatCode="0.0%" sourceLinked="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uri="{CE6537A1-D6FC-4f65-9D91-7224C49458BB}"/>
                  </c:extLst>
                </c:dLbls>
                <c:cat>
                  <c:strRef>
                    <c:extLst>
                      <c:ext uri="{02D57815-91ED-43cb-92C2-25804820EDAC}">
                        <c15:formulaRef>
                          <c15:sqref>Лист1!$A$2:$A$5</c15:sqref>
                        </c15:formulaRef>
                      </c:ext>
                    </c:extLst>
                    <c:strCache>
                      <c:ptCount val="4"/>
                      <c:pt idx="0">
                        <c:v>I. Социально-культурная сфера (5 программ)</c:v>
                      </c:pt>
                      <c:pt idx="1">
                        <c:v>II. Жилищно-коммунальная сфера (3 программы)</c:v>
                      </c:pt>
                      <c:pt idx="2">
                        <c:v>III. Развитие отраслей экономики (5 программ)</c:v>
                      </c:pt>
                      <c:pt idx="3">
                        <c:v>IV. Иные направления (8 программ)</c:v>
                      </c:pt>
                    </c:strCache>
                  </c:strRef>
                </c:cat>
                <c:val>
                  <c:numRef>
                    <c:extLst>
                      <c:ext uri="{02D57815-91ED-43cb-92C2-25804820EDAC}">
                        <c15:formulaRef>
                          <c15:sqref>Лист1!$B$2:$B$5</c15:sqref>
                        </c15:formulaRef>
                      </c:ext>
                    </c:extLst>
                    <c:numCache>
                      <c:formatCode>#\ ##0.0</c:formatCode>
                      <c:ptCount val="4"/>
                      <c:pt idx="0">
                        <c:v>1685592.4</c:v>
                      </c:pt>
                      <c:pt idx="1">
                        <c:v>676111.4</c:v>
                      </c:pt>
                      <c:pt idx="2">
                        <c:v>279006</c:v>
                      </c:pt>
                      <c:pt idx="3">
                        <c:v>395916.89999999997</c:v>
                      </c:pt>
                    </c:numCache>
                  </c:numRef>
                </c:val>
              </c15:ser>
            </c15:filteredPieSeries>
            <c15:filteredPie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pt idx="0">
                        <c:v>2019</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0"/>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inEnd"/>
                    <c:showLegendKey val="0"/>
                    <c:showVal val="0"/>
                    <c:showCatName val="1"/>
                    <c:showSerName val="0"/>
                    <c:showPercent val="0"/>
                    <c:showBubbleSize val="0"/>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ru-RU"/>
                      </a:p>
                    </c:txPr>
                    <c:dLblPos val="inEnd"/>
                    <c:showLegendKey val="0"/>
                    <c:showVal val="0"/>
                    <c:showCatName val="1"/>
                    <c:showSerName val="0"/>
                    <c:showPercent val="0"/>
                    <c:showBubbleSize val="0"/>
                  </c:dLbl>
                  <c:spPr>
                    <a:solidFill>
                      <a:sysClr val="window" lastClr="FFFFFF">
                        <a:alpha val="90000"/>
                      </a:sysClr>
                    </a:solidFill>
                    <a:ln w="12700" cap="flat" cmpd="sng" algn="ctr">
                      <a:solidFill>
                        <a:srgbClr val="A5A5A5"/>
                      </a:solidFill>
                      <a:round/>
                    </a:ln>
                    <a:effectLst>
                      <a:outerShdw blurRad="50800" dist="38100" dir="2700000" algn="tl" rotWithShape="0">
                        <a:srgbClr val="A5A5A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Лист1!$A$2:$A$5</c15:sqref>
                        </c15:formulaRef>
                      </c:ext>
                    </c:extLst>
                    <c:strCache>
                      <c:ptCount val="4"/>
                      <c:pt idx="0">
                        <c:v>I. Социально-культурная сфера (5 программ)</c:v>
                      </c:pt>
                      <c:pt idx="1">
                        <c:v>II. Жилищно-коммунальная сфера (3 программы)</c:v>
                      </c:pt>
                      <c:pt idx="2">
                        <c:v>III. Развитие отраслей экономики (5 программ)</c:v>
                      </c:pt>
                      <c:pt idx="3">
                        <c:v>IV. Иные направления (8 программ)</c:v>
                      </c:pt>
                    </c:strCache>
                  </c:strRef>
                </c:cat>
                <c:val>
                  <c:numRef>
                    <c:extLst xmlns:c15="http://schemas.microsoft.com/office/drawing/2012/chart">
                      <c:ext xmlns:c15="http://schemas.microsoft.com/office/drawing/2012/chart" uri="{02D57815-91ED-43cb-92C2-25804820EDAC}">
                        <c15:formulaRef>
                          <c15:sqref>Лист1!$D$2:$D$5</c15:sqref>
                        </c15:formulaRef>
                      </c:ext>
                    </c:extLst>
                    <c:numCache>
                      <c:formatCode>#\ ##0.0</c:formatCode>
                      <c:ptCount val="4"/>
                      <c:pt idx="0">
                        <c:v>2040866.5999999999</c:v>
                      </c:pt>
                      <c:pt idx="1">
                        <c:v>248077.2</c:v>
                      </c:pt>
                      <c:pt idx="2">
                        <c:v>249491.50000000003</c:v>
                      </c:pt>
                      <c:pt idx="3">
                        <c:v>531928.29999999993</c:v>
                      </c:pt>
                    </c:numCache>
                  </c:numRef>
                </c:val>
              </c15:ser>
            </c15:filteredPieSeries>
          </c:ext>
        </c:extLst>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24</Pages>
  <Words>5499</Words>
  <Characters>37434</Characters>
  <Application>Microsoft Office Word</Application>
  <DocSecurity>0</DocSecurity>
  <Lines>311</Lines>
  <Paragraphs>85</Paragraphs>
  <ScaleCrop>false</ScaleCrop>
  <HeadingPairs>
    <vt:vector size="2" baseType="variant">
      <vt:variant>
        <vt:lpstr>Название</vt:lpstr>
      </vt:variant>
      <vt:variant>
        <vt:i4>1</vt:i4>
      </vt:variant>
    </vt:vector>
  </HeadingPairs>
  <TitlesOfParts>
    <vt:vector size="1" baseType="lpstr">
      <vt:lpstr>Отчет о результатах деятельности</vt:lpstr>
    </vt:vector>
  </TitlesOfParts>
  <Company>МКУ Администрация г.Пыть-Яха</Company>
  <LinksUpToDate>false</LinksUpToDate>
  <CharactersWithSpaces>42848</CharactersWithSpaces>
  <SharedDoc>false</SharedDoc>
  <HLinks>
    <vt:vector size="12" baseType="variant">
      <vt:variant>
        <vt:i4>6881386</vt:i4>
      </vt:variant>
      <vt:variant>
        <vt:i4>3</vt:i4>
      </vt:variant>
      <vt:variant>
        <vt:i4>0</vt:i4>
      </vt:variant>
      <vt:variant>
        <vt:i4>5</vt:i4>
      </vt:variant>
      <vt:variant>
        <vt:lpwstr>http://adm.gov86.org/files/2016/finkom/2014-otchet-kf.docm</vt:lpwstr>
      </vt:variant>
      <vt:variant>
        <vt:lpwstr>Par988#Par988</vt:lpwstr>
      </vt:variant>
      <vt:variant>
        <vt:i4>6946917</vt:i4>
      </vt:variant>
      <vt:variant>
        <vt:i4>0</vt:i4>
      </vt:variant>
      <vt:variant>
        <vt:i4>0</vt:i4>
      </vt:variant>
      <vt:variant>
        <vt:i4>5</vt:i4>
      </vt:variant>
      <vt:variant>
        <vt:lpwstr>http://adm.gov86.org/files/2016/finkom/2014-otchet-kf.docm</vt:lpwstr>
      </vt:variant>
      <vt:variant>
        <vt:lpwstr>Par684#Par684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деятельности</dc:title>
  <dc:subject/>
  <dc:creator>Баляева</dc:creator>
  <cp:keywords/>
  <dc:description/>
  <cp:lastModifiedBy>Сергей Медведев</cp:lastModifiedBy>
  <cp:revision>2</cp:revision>
  <dcterms:created xsi:type="dcterms:W3CDTF">2020-02-10T12:14:00Z</dcterms:created>
  <dcterms:modified xsi:type="dcterms:W3CDTF">2020-02-10T12:14:00Z</dcterms:modified>
</cp:coreProperties>
</file>