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130F94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="00890B0B" w:rsidRPr="008D1EFC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EE2436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EE2436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EE2436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EE243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EE2436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EE2436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EE2436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EE2436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EE2436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E2436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EE2436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EE2436">
        <w:rPr>
          <w:rFonts w:ascii="Times New Roman" w:hAnsi="Times New Roman"/>
          <w:sz w:val="20"/>
          <w:szCs w:val="20"/>
          <w:lang w:val="en-US"/>
        </w:rPr>
        <w:t>:</w:t>
      </w:r>
      <w:r w:rsidRPr="00EE243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EE243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EE243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EE243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EE2436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130F94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30.01.2019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                            № 15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 xml:space="preserve">ОМВД России по городу </w:t>
      </w:r>
      <w:proofErr w:type="spellStart"/>
      <w:r w:rsidR="00B07425"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873CF9" w:rsidRPr="00FA3E5F" w:rsidRDefault="003E07B6" w:rsidP="00130F9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12 месяцев</w:t>
      </w:r>
      <w:r w:rsidR="00130F94">
        <w:rPr>
          <w:rFonts w:ascii="Times New Roman" w:hAnsi="Times New Roman"/>
          <w:sz w:val="26"/>
          <w:szCs w:val="26"/>
        </w:rPr>
        <w:t xml:space="preserve"> 2018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токоле заседания муниципальной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</w:t>
      </w:r>
      <w:proofErr w:type="spellStart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12 месяцев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01.01.2019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>40 несовершеннолетних (АППГ – 53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), из них за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>учет 39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32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 совершено 18 преступлений (АППГ – 13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>реступлений принимало участие 16 несовершеннолетних (АППГ – 12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80478A" w:rsidRDefault="0080478A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0352" w:rsidRDefault="00EE2436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Из 18 преступлений – 6</w:t>
      </w:r>
      <w:r w:rsidR="008047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F3984">
        <w:rPr>
          <w:rFonts w:ascii="Times New Roman" w:eastAsia="Times New Roman" w:hAnsi="Times New Roman"/>
          <w:sz w:val="26"/>
          <w:szCs w:val="26"/>
          <w:lang w:eastAsia="ru-RU"/>
        </w:rPr>
        <w:t xml:space="preserve">преступлений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совершены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и 12</w:t>
      </w:r>
      <w:r w:rsidR="00CF3984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совершены в 2018 году. В группе совершено 4</w:t>
      </w:r>
      <w:r w:rsidR="0080478A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преступления (АППГ – 3).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21 преступление (АППГ – 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251" w:rsidRPr="00D87251" w:rsidRDefault="00881FE6" w:rsidP="00125EA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Всего 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 xml:space="preserve"> 2018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несовершеннолетних составлено 35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нистративных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лов (АППГ – 44).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15279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proofErr w:type="gramStart"/>
      <w:r>
        <w:rPr>
          <w:rFonts w:ascii="Times New Roman" w:eastAsiaTheme="minorHAnsi" w:hAnsi="Times New Roman"/>
          <w:sz w:val="26"/>
          <w:szCs w:val="26"/>
        </w:rPr>
        <w:t>За 12</w:t>
      </w:r>
      <w:r w:rsidR="00DE1705">
        <w:rPr>
          <w:rFonts w:ascii="Times New Roman" w:eastAsiaTheme="minorHAnsi" w:hAnsi="Times New Roman"/>
          <w:sz w:val="26"/>
          <w:szCs w:val="26"/>
        </w:rPr>
        <w:t xml:space="preserve"> месяцев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2018</w:t>
      </w:r>
      <w:r>
        <w:rPr>
          <w:rFonts w:ascii="Times New Roman" w:eastAsiaTheme="minorHAnsi" w:hAnsi="Times New Roman"/>
          <w:sz w:val="26"/>
          <w:szCs w:val="26"/>
        </w:rPr>
        <w:t xml:space="preserve"> года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несовершеннолетними совершены 2 самовольных</w:t>
      </w:r>
      <w:r w:rsidR="00A07783">
        <w:rPr>
          <w:rFonts w:ascii="Times New Roman" w:eastAsiaTheme="minorHAnsi" w:hAnsi="Times New Roman"/>
          <w:sz w:val="26"/>
          <w:szCs w:val="26"/>
        </w:rPr>
        <w:t xml:space="preserve"> уход</w:t>
      </w:r>
      <w:r w:rsidR="00D05AFA">
        <w:rPr>
          <w:rFonts w:ascii="Times New Roman" w:eastAsiaTheme="minorHAnsi" w:hAnsi="Times New Roman"/>
          <w:sz w:val="26"/>
          <w:szCs w:val="26"/>
        </w:rPr>
        <w:t>а</w:t>
      </w:r>
      <w:r w:rsidR="00842DEF">
        <w:rPr>
          <w:rFonts w:ascii="Times New Roman" w:eastAsiaTheme="minorHAnsi" w:hAnsi="Times New Roman"/>
          <w:sz w:val="26"/>
          <w:szCs w:val="26"/>
        </w:rPr>
        <w:t xml:space="preserve"> из БУ ХМАО-Югры «Комплексный центр социального обслуживан</w:t>
      </w:r>
      <w:r w:rsidR="00D05AFA">
        <w:rPr>
          <w:rFonts w:ascii="Times New Roman" w:eastAsiaTheme="minorHAnsi" w:hAnsi="Times New Roman"/>
          <w:sz w:val="26"/>
          <w:szCs w:val="26"/>
        </w:rPr>
        <w:t>ия населения</w:t>
      </w:r>
      <w:r w:rsidR="00DE1705">
        <w:rPr>
          <w:rFonts w:ascii="Times New Roman" w:eastAsiaTheme="minorHAnsi" w:hAnsi="Times New Roman"/>
          <w:sz w:val="26"/>
          <w:szCs w:val="26"/>
        </w:rPr>
        <w:t>»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(АППГ – 1), 22 – из семьи (АППГ – 9</w:t>
      </w:r>
      <w:r w:rsidR="00240352">
        <w:rPr>
          <w:rFonts w:ascii="Times New Roman" w:eastAsiaTheme="minorHAnsi" w:hAnsi="Times New Roman"/>
          <w:sz w:val="26"/>
          <w:szCs w:val="26"/>
        </w:rPr>
        <w:t>).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125EA3">
        <w:rPr>
          <w:rFonts w:ascii="Times New Roman" w:eastAsiaTheme="minorHAnsi" w:hAnsi="Times New Roman"/>
          <w:sz w:val="26"/>
          <w:szCs w:val="26"/>
        </w:rPr>
        <w:t xml:space="preserve">Трое несовершеннолетних совершили 11 самовольных уходов из семьи. </w:t>
      </w:r>
      <w:r w:rsidR="000F07A3">
        <w:rPr>
          <w:rFonts w:ascii="Times New Roman" w:eastAsiaTheme="minorHAnsi" w:hAnsi="Times New Roman"/>
          <w:sz w:val="26"/>
          <w:szCs w:val="26"/>
        </w:rPr>
        <w:t>С несовершеннолетними, совершившими самовольные уходы из государственных учреждений и из семьи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организована индивид</w:t>
      </w:r>
      <w:r w:rsidR="00125EA3">
        <w:rPr>
          <w:rFonts w:ascii="Times New Roman" w:eastAsiaTheme="minorHAnsi" w:hAnsi="Times New Roman"/>
          <w:sz w:val="26"/>
          <w:szCs w:val="26"/>
        </w:rPr>
        <w:t>уальная профилактическая работа (один несовершеннолетний помещен в реабилитационный центр «Гармония» г. Сургут, один несовершеннолетний помещен в реабилитационный центр «</w:t>
      </w:r>
      <w:proofErr w:type="spellStart"/>
      <w:r w:rsidR="00125EA3">
        <w:rPr>
          <w:rFonts w:ascii="Times New Roman" w:eastAsiaTheme="minorHAnsi" w:hAnsi="Times New Roman"/>
          <w:sz w:val="26"/>
          <w:szCs w:val="26"/>
        </w:rPr>
        <w:t>Северяночка</w:t>
      </w:r>
      <w:proofErr w:type="spellEnd"/>
      <w:r w:rsidR="00125EA3">
        <w:rPr>
          <w:rFonts w:ascii="Times New Roman" w:eastAsiaTheme="minorHAnsi" w:hAnsi="Times New Roman"/>
          <w:sz w:val="26"/>
          <w:szCs w:val="26"/>
        </w:rPr>
        <w:t xml:space="preserve">» г. </w:t>
      </w:r>
      <w:proofErr w:type="spellStart"/>
      <w:r w:rsidR="00125EA3">
        <w:rPr>
          <w:rFonts w:ascii="Times New Roman" w:eastAsiaTheme="minorHAnsi" w:hAnsi="Times New Roman"/>
          <w:sz w:val="26"/>
          <w:szCs w:val="26"/>
        </w:rPr>
        <w:t>Нягань</w:t>
      </w:r>
      <w:proofErr w:type="spellEnd"/>
      <w:r w:rsidR="00125EA3">
        <w:rPr>
          <w:rFonts w:ascii="Times New Roman" w:eastAsiaTheme="minorHAnsi" w:hAnsi="Times New Roman"/>
          <w:sz w:val="26"/>
          <w:szCs w:val="26"/>
        </w:rPr>
        <w:t>, один несовершеннолетний помещен в БУ ХМАО-Югры «Комплексный центр социального обслуживания населения» г. Пыть-Ях).</w:t>
      </w: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Default="00CE50A4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D05AFA">
        <w:rPr>
          <w:rFonts w:ascii="Times New Roman" w:eastAsiaTheme="minorHAnsi" w:hAnsi="Times New Roman"/>
          <w:sz w:val="26"/>
          <w:szCs w:val="26"/>
        </w:rPr>
        <w:t>В течение 2018</w:t>
      </w:r>
      <w:r w:rsidR="00AC177C">
        <w:rPr>
          <w:rFonts w:ascii="Times New Roman" w:eastAsiaTheme="minorHAnsi" w:hAnsi="Times New Roman"/>
          <w:sz w:val="26"/>
          <w:szCs w:val="26"/>
        </w:rPr>
        <w:t xml:space="preserve"> года несоверш</w:t>
      </w:r>
      <w:r w:rsidR="007D4E2F">
        <w:rPr>
          <w:rFonts w:ascii="Times New Roman" w:eastAsiaTheme="minorHAnsi" w:hAnsi="Times New Roman"/>
          <w:sz w:val="26"/>
          <w:szCs w:val="26"/>
        </w:rPr>
        <w:t xml:space="preserve">еннолетними совершено 10 общественно опасных деяний (АППГ – 4). Один несовершеннолетний по решению </w:t>
      </w:r>
      <w:proofErr w:type="spellStart"/>
      <w:r w:rsidR="007D4E2F">
        <w:rPr>
          <w:rFonts w:ascii="Times New Roman" w:eastAsiaTheme="minorHAnsi" w:hAnsi="Times New Roman"/>
          <w:sz w:val="26"/>
          <w:szCs w:val="26"/>
        </w:rPr>
        <w:t>Пыть-Яхского</w:t>
      </w:r>
      <w:proofErr w:type="spellEnd"/>
      <w:r w:rsidR="007D4E2F">
        <w:rPr>
          <w:rFonts w:ascii="Times New Roman" w:eastAsiaTheme="minorHAnsi" w:hAnsi="Times New Roman"/>
          <w:sz w:val="26"/>
          <w:szCs w:val="26"/>
        </w:rPr>
        <w:t xml:space="preserve"> городского суда помещен в общеобразовательное учреждение закрытого типа сроком на 2 года 6 месяцев.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4C1F7D">
        <w:rPr>
          <w:rFonts w:ascii="Times New Roman" w:eastAsiaTheme="minorHAnsi" w:hAnsi="Times New Roman"/>
          <w:sz w:val="26"/>
          <w:szCs w:val="26"/>
        </w:rPr>
        <w:t>При участии преподавательского состава среди обучающихся об</w:t>
      </w:r>
      <w:r w:rsidR="0091617E">
        <w:rPr>
          <w:rFonts w:ascii="Times New Roman" w:eastAsiaTheme="minorHAnsi" w:hAnsi="Times New Roman"/>
          <w:sz w:val="26"/>
          <w:szCs w:val="26"/>
        </w:rPr>
        <w:t>разовательных организаций в 2018 году проведено 206</w:t>
      </w:r>
      <w:r w:rsidR="004C1F7D">
        <w:rPr>
          <w:rFonts w:ascii="Times New Roman" w:eastAsiaTheme="minorHAnsi" w:hAnsi="Times New Roman"/>
          <w:sz w:val="26"/>
          <w:szCs w:val="26"/>
        </w:rPr>
        <w:t xml:space="preserve"> лекций и бесед на темы: 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вреде употребления наркотических средств и ответственность за изготовление, приобретение и сбыт наркотических средств;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уголовная и административная ответственность несовершеннолетних;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краж велосипедов, самокатов и сотовых телефонов;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курения и токсикомании;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меры по сохранности личного имущества;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ответственность подростков за совершение правонарушений;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твоя личная безопасность;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действия в экстремальных условиях;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чтобы не попасть в беду.</w:t>
      </w:r>
    </w:p>
    <w:p w:rsidR="005A0F77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34613E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D4D82" w:rsidRDefault="005A0F77" w:rsidP="0091617E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мая по</w:t>
      </w:r>
      <w:r w:rsidR="0091617E">
        <w:rPr>
          <w:rFonts w:ascii="Times New Roman" w:eastAsiaTheme="minorHAnsi" w:hAnsi="Times New Roman"/>
          <w:sz w:val="26"/>
          <w:szCs w:val="26"/>
        </w:rPr>
        <w:t xml:space="preserve"> октябрь 2018</w:t>
      </w:r>
      <w:r>
        <w:rPr>
          <w:rFonts w:ascii="Times New Roman" w:eastAsiaTheme="minorHAnsi" w:hAnsi="Times New Roman"/>
          <w:sz w:val="26"/>
          <w:szCs w:val="26"/>
        </w:rPr>
        <w:t xml:space="preserve"> года принято участие в проведении межведомственной профил</w:t>
      </w:r>
      <w:r w:rsidR="0034613E">
        <w:rPr>
          <w:rFonts w:ascii="Times New Roman" w:eastAsiaTheme="minorHAnsi" w:hAnsi="Times New Roman"/>
          <w:sz w:val="26"/>
          <w:szCs w:val="26"/>
        </w:rPr>
        <w:t>актической операции «Подросток», в которой было задействовано 17 сотрудников полиции.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профилактики преступлений и правонарушений, а также потребления алкогольной продукции, наркотических средств, одурманивающих и токсических веществ территориальной комиссией по делам несовершеннолетних и защите их прав на заседаниях утверждены: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</w:t>
      </w:r>
      <w:r w:rsidR="0091617E">
        <w:rPr>
          <w:rFonts w:ascii="Times New Roman" w:eastAsiaTheme="minorHAnsi" w:hAnsi="Times New Roman"/>
          <w:sz w:val="26"/>
          <w:szCs w:val="26"/>
        </w:rPr>
        <w:t>ой комиссии на 2018</w:t>
      </w:r>
      <w:r>
        <w:rPr>
          <w:rFonts w:ascii="Times New Roman" w:eastAsiaTheme="minorHAnsi" w:hAnsi="Times New Roman"/>
          <w:sz w:val="26"/>
          <w:szCs w:val="26"/>
        </w:rPr>
        <w:t xml:space="preserve"> год;</w:t>
      </w:r>
    </w:p>
    <w:p w:rsidR="0091617E" w:rsidRDefault="00896997" w:rsidP="0091617E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</w:t>
      </w:r>
      <w:r w:rsidR="004150F2">
        <w:rPr>
          <w:rFonts w:ascii="Times New Roman" w:eastAsiaTheme="minorHAnsi" w:hAnsi="Times New Roman"/>
          <w:sz w:val="26"/>
          <w:szCs w:val="26"/>
        </w:rPr>
        <w:t>фик р</w:t>
      </w:r>
      <w:r w:rsidR="0091617E">
        <w:rPr>
          <w:rFonts w:ascii="Times New Roman" w:eastAsiaTheme="minorHAnsi" w:hAnsi="Times New Roman"/>
          <w:sz w:val="26"/>
          <w:szCs w:val="26"/>
        </w:rPr>
        <w:t>ейдовых мероприятий на 2018 год;</w:t>
      </w:r>
    </w:p>
    <w:p w:rsidR="0091617E" w:rsidRPr="0091617E" w:rsidRDefault="0091617E" w:rsidP="0091617E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комплексный межведомственный план мероприятий на 2018 год.</w:t>
      </w:r>
    </w:p>
    <w:p w:rsidR="004150F2" w:rsidRDefault="004150F2" w:rsidP="00842DEF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родителей, отрицательно влияющи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33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В 2018 году на профилактический учет поставлено 10 родителей (АППГ – 11).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97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ивных правонарушениях,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="006A7770">
        <w:rPr>
          <w:rFonts w:ascii="Times New Roman" w:eastAsia="Times New Roman" w:hAnsi="Times New Roman"/>
          <w:sz w:val="26"/>
          <w:szCs w:val="26"/>
        </w:rPr>
        <w:t xml:space="preserve"> ст. 5.35 КоАП РФ – 82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дел</w:t>
      </w:r>
      <w:r w:rsidR="006A7770">
        <w:rPr>
          <w:rFonts w:ascii="Times New Roman" w:eastAsia="Times New Roman" w:hAnsi="Times New Roman"/>
          <w:sz w:val="26"/>
          <w:szCs w:val="26"/>
        </w:rPr>
        <w:t>а (АППГ – 74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3410D9">
        <w:rPr>
          <w:rFonts w:ascii="Times New Roman" w:eastAsia="Times New Roman" w:hAnsi="Times New Roman"/>
          <w:sz w:val="26"/>
          <w:szCs w:val="26"/>
        </w:rPr>
        <w:t>ст. 2</w:t>
      </w:r>
      <w:r w:rsidR="006A7770">
        <w:rPr>
          <w:rFonts w:ascii="Times New Roman" w:eastAsia="Times New Roman" w:hAnsi="Times New Roman"/>
          <w:sz w:val="26"/>
          <w:szCs w:val="26"/>
        </w:rPr>
        <w:t>0.22 КоАП РФ – 8 дел (АППГ – 15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7D0669" w:rsidRDefault="006A7770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</w:t>
      </w:r>
      <w:r w:rsidR="006A7770">
        <w:rPr>
          <w:rFonts w:ascii="Times New Roman" w:eastAsiaTheme="minorHAnsi" w:hAnsi="Times New Roman"/>
          <w:sz w:val="26"/>
          <w:szCs w:val="26"/>
        </w:rPr>
        <w:t>ороду Пыть-Ях за 12 месяцев 2018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6A7770">
        <w:rPr>
          <w:rFonts w:ascii="Times New Roman" w:eastAsiaTheme="minorHAnsi" w:hAnsi="Times New Roman"/>
          <w:sz w:val="26"/>
          <w:szCs w:val="26"/>
        </w:rPr>
        <w:t>а составлено 16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6A7770">
        <w:rPr>
          <w:rFonts w:ascii="Times New Roman" w:eastAsiaTheme="minorHAnsi" w:hAnsi="Times New Roman"/>
          <w:sz w:val="26"/>
          <w:szCs w:val="26"/>
        </w:rPr>
        <w:t>ов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A97799">
        <w:rPr>
          <w:rFonts w:ascii="Times New Roman" w:eastAsiaTheme="minorHAnsi" w:hAnsi="Times New Roman"/>
          <w:sz w:val="26"/>
          <w:szCs w:val="26"/>
        </w:rPr>
        <w:t>ивных правонарушениях (АППГ –</w:t>
      </w:r>
      <w:r w:rsidR="006A7770">
        <w:rPr>
          <w:rFonts w:ascii="Times New Roman" w:eastAsiaTheme="minorHAnsi" w:hAnsi="Times New Roman"/>
          <w:sz w:val="26"/>
          <w:szCs w:val="26"/>
        </w:rPr>
        <w:t xml:space="preserve"> 21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 w:rsidR="006A7770">
        <w:rPr>
          <w:rFonts w:ascii="Times New Roman" w:eastAsiaTheme="minorHAnsi" w:hAnsi="Times New Roman"/>
          <w:sz w:val="26"/>
          <w:szCs w:val="26"/>
        </w:rPr>
        <w:t xml:space="preserve"> – 3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протокола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(АППГ – </w:t>
      </w:r>
      <w:r w:rsidR="006A7770">
        <w:rPr>
          <w:rFonts w:ascii="Times New Roman" w:eastAsiaTheme="minorHAnsi" w:hAnsi="Times New Roman"/>
          <w:sz w:val="26"/>
          <w:szCs w:val="26"/>
        </w:rPr>
        <w:t>2</w:t>
      </w:r>
      <w:r w:rsidR="00B03E27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42461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спиртосодержащей проду</w:t>
      </w:r>
      <w:r w:rsidR="006A7770">
        <w:rPr>
          <w:rFonts w:ascii="Times New Roman" w:eastAsiaTheme="minorHAnsi" w:hAnsi="Times New Roman"/>
          <w:sz w:val="26"/>
          <w:szCs w:val="26"/>
        </w:rPr>
        <w:t>кции) – 9 протоколов (АППГ – 11);</w:t>
      </w:r>
    </w:p>
    <w:p w:rsidR="006A7770" w:rsidRPr="00A97799" w:rsidRDefault="006A7770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ч. 3 ст. 14.53 КоАП РФ 4.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3410D9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12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2018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произошел рост преступлений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>ршенных несовершеннолетними с 13 до 18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0A5645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C666D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>нистративных правонарушений с 44 до 35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87251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30 до 21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6A7770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увеличилось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из государственных учреждений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1 до 2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D1A51" w:rsidRDefault="00A1354E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увеличилось количество самовольных уходов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несовершеннолетнихиз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семьи с 9 до 22;</w:t>
      </w:r>
    </w:p>
    <w:p w:rsidR="00873CF9" w:rsidRPr="00A1354E" w:rsidRDefault="00D87251" w:rsidP="00542461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>сти (по ст. 20.22 КоАП РФ в 2017 году составлено  16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5D98">
        <w:rPr>
          <w:rFonts w:ascii="Times New Roman" w:eastAsia="Times New Roman" w:hAnsi="Times New Roman"/>
          <w:sz w:val="26"/>
          <w:szCs w:val="26"/>
          <w:lang w:eastAsia="ru-RU"/>
        </w:rPr>
        <w:t>протоколов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>, в 2018 году - 8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Обеспечено ежеквартальное рассмотрение на заседании территориальной комиссии информации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состоянии оперативной обстановки и результатах оперативно-служебной деятельности ПДН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73CF9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6E147E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</w:t>
      </w:r>
      <w:proofErr w:type="spellStart"/>
      <w:r w:rsidR="006E147E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6E147E">
        <w:rPr>
          <w:rFonts w:ascii="Times New Roman" w:eastAsia="Times New Roman" w:hAnsi="Times New Roman"/>
          <w:sz w:val="26"/>
          <w:szCs w:val="26"/>
          <w:lang w:eastAsia="ru-RU"/>
        </w:rPr>
        <w:t xml:space="preserve"> за 12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принять к сведению.</w:t>
      </w:r>
    </w:p>
    <w:p w:rsidR="00873CF9" w:rsidRPr="00873CF9" w:rsidRDefault="00873CF9" w:rsidP="00873CF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30E1" w:rsidRPr="00E730E1" w:rsidRDefault="00E730E1" w:rsidP="00E730E1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E730E1" w:rsidRP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 xml:space="preserve">Обеспечить включение в комплексный межведомственный план </w:t>
      </w:r>
      <w:proofErr w:type="gramStart"/>
      <w:r w:rsidRPr="00E730E1">
        <w:rPr>
          <w:rFonts w:ascii="Times New Roman" w:hAnsi="Times New Roman"/>
          <w:sz w:val="26"/>
          <w:szCs w:val="24"/>
        </w:rPr>
        <w:t>мероприятий субъектов системы профилактики безнадзорности</w:t>
      </w:r>
      <w:proofErr w:type="gramEnd"/>
      <w:r w:rsidRPr="00E730E1">
        <w:rPr>
          <w:rFonts w:ascii="Times New Roman" w:hAnsi="Times New Roman"/>
          <w:sz w:val="26"/>
          <w:szCs w:val="24"/>
        </w:rPr>
        <w:t xml:space="preserve"> и правонарушений несовершеннолетних г.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на 2019 год пред</w:t>
      </w:r>
      <w:r>
        <w:rPr>
          <w:rFonts w:ascii="Times New Roman" w:hAnsi="Times New Roman"/>
          <w:sz w:val="26"/>
          <w:szCs w:val="24"/>
        </w:rPr>
        <w:t>ложенные членами му</w:t>
      </w:r>
      <w:r w:rsidR="00EC0A47">
        <w:rPr>
          <w:rFonts w:ascii="Times New Roman" w:hAnsi="Times New Roman"/>
          <w:sz w:val="26"/>
          <w:szCs w:val="24"/>
        </w:rPr>
        <w:t>ниципальной комиссии мероприятия, направленные</w:t>
      </w:r>
      <w:bookmarkStart w:id="0" w:name="_GoBack"/>
      <w:bookmarkEnd w:id="0"/>
      <w:r>
        <w:rPr>
          <w:rFonts w:ascii="Times New Roman" w:hAnsi="Times New Roman"/>
          <w:sz w:val="26"/>
          <w:szCs w:val="24"/>
        </w:rPr>
        <w:t xml:space="preserve"> на профилактику преступлений и правонарушений несовершеннолетних, а также самовольных уходов несовершеннолетних из семей, в срок до 01.03.2019 г.</w:t>
      </w:r>
    </w:p>
    <w:p w:rsidR="00E730E1" w:rsidRP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в срок до </w:t>
      </w:r>
      <w:r>
        <w:rPr>
          <w:rFonts w:ascii="Times New Roman" w:hAnsi="Times New Roman"/>
          <w:sz w:val="26"/>
          <w:szCs w:val="24"/>
        </w:rPr>
        <w:t>20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</w:t>
      </w:r>
      <w:r w:rsidRPr="00E730E1">
        <w:rPr>
          <w:rFonts w:ascii="Times New Roman" w:hAnsi="Times New Roman"/>
          <w:sz w:val="26"/>
          <w:szCs w:val="24"/>
        </w:rPr>
        <w:t>2.201</w:t>
      </w:r>
      <w:r>
        <w:rPr>
          <w:rFonts w:ascii="Times New Roman" w:hAnsi="Times New Roman"/>
          <w:sz w:val="26"/>
          <w:szCs w:val="24"/>
        </w:rPr>
        <w:t>9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5F5DFE" w:rsidRPr="005F5DFE" w:rsidRDefault="005F5DFE" w:rsidP="00A1354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E86C7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E730E1">
        <w:rPr>
          <w:rFonts w:ascii="Times New Roman" w:hAnsi="Times New Roman"/>
          <w:sz w:val="26"/>
          <w:szCs w:val="26"/>
        </w:rPr>
        <w:t xml:space="preserve"> 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FC4B80">
        <w:rPr>
          <w:rFonts w:ascii="Times New Roman" w:hAnsi="Times New Roman"/>
          <w:sz w:val="26"/>
          <w:szCs w:val="26"/>
        </w:rPr>
        <w:t xml:space="preserve"> А.П. Золотых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E91E-7448-45FE-B5E2-14A31C26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162</cp:revision>
  <cp:lastPrinted>2019-02-11T05:03:00Z</cp:lastPrinted>
  <dcterms:created xsi:type="dcterms:W3CDTF">2013-06-06T04:46:00Z</dcterms:created>
  <dcterms:modified xsi:type="dcterms:W3CDTF">2019-02-11T05:05:00Z</dcterms:modified>
</cp:coreProperties>
</file>