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ayout w:type="fixed"/>
        <w:tblLook w:val="04A0" w:firstRow="1" w:lastRow="0" w:firstColumn="1" w:lastColumn="0" w:noHBand="0" w:noVBand="1"/>
      </w:tblPr>
      <w:tblGrid>
        <w:gridCol w:w="791"/>
        <w:gridCol w:w="2502"/>
        <w:gridCol w:w="813"/>
        <w:gridCol w:w="992"/>
        <w:gridCol w:w="993"/>
        <w:gridCol w:w="1134"/>
        <w:gridCol w:w="1139"/>
        <w:gridCol w:w="5612"/>
        <w:gridCol w:w="1562"/>
      </w:tblGrid>
      <w:tr w:rsidR="00921983" w:rsidRPr="00AF455F" w:rsidTr="002C4D81">
        <w:trPr>
          <w:trHeight w:val="564"/>
        </w:trPr>
        <w:tc>
          <w:tcPr>
            <w:tcW w:w="15538" w:type="dxa"/>
            <w:gridSpan w:val="9"/>
            <w:hideMark/>
          </w:tcPr>
          <w:p w:rsidR="00921983" w:rsidRPr="00AF455F" w:rsidRDefault="00921983" w:rsidP="00921983">
            <w:pPr>
              <w:jc w:val="right"/>
              <w:rPr>
                <w:rFonts w:ascii="Times New Roman" w:hAnsi="Times New Roman" w:cs="Times New Roman"/>
                <w:sz w:val="16"/>
                <w:szCs w:val="16"/>
              </w:rPr>
            </w:pPr>
            <w:r w:rsidRPr="00AF455F">
              <w:rPr>
                <w:rFonts w:ascii="Times New Roman" w:hAnsi="Times New Roman" w:cs="Times New Roman"/>
                <w:sz w:val="16"/>
                <w:szCs w:val="16"/>
              </w:rPr>
              <w:t>Приложение №1</w:t>
            </w:r>
            <w:r w:rsidRPr="00AF455F">
              <w:rPr>
                <w:rFonts w:ascii="Times New Roman" w:hAnsi="Times New Roman" w:cs="Times New Roman"/>
                <w:sz w:val="16"/>
                <w:szCs w:val="16"/>
              </w:rPr>
              <w:br/>
              <w:t xml:space="preserve">              </w:t>
            </w:r>
            <w:r w:rsidRPr="00AF455F">
              <w:rPr>
                <w:rFonts w:ascii="Times New Roman" w:hAnsi="Times New Roman" w:cs="Times New Roman"/>
                <w:sz w:val="16"/>
                <w:szCs w:val="16"/>
              </w:rPr>
              <w:br/>
              <w:t xml:space="preserve">              </w:t>
            </w:r>
          </w:p>
        </w:tc>
      </w:tr>
      <w:tr w:rsidR="00623E4C" w:rsidRPr="00AF455F" w:rsidTr="00921983">
        <w:trPr>
          <w:trHeight w:val="401"/>
        </w:trPr>
        <w:tc>
          <w:tcPr>
            <w:tcW w:w="15538" w:type="dxa"/>
            <w:gridSpan w:val="9"/>
            <w:hideMark/>
          </w:tcPr>
          <w:p w:rsidR="00623E4C" w:rsidRPr="00AF455F" w:rsidRDefault="00623E4C" w:rsidP="00921983">
            <w:pPr>
              <w:spacing w:after="160"/>
              <w:jc w:val="center"/>
              <w:rPr>
                <w:rFonts w:ascii="Times New Roman" w:hAnsi="Times New Roman" w:cs="Times New Roman"/>
                <w:b/>
                <w:bCs/>
                <w:sz w:val="16"/>
                <w:szCs w:val="16"/>
              </w:rPr>
            </w:pPr>
            <w:r w:rsidRPr="00AF455F">
              <w:rPr>
                <w:rFonts w:ascii="Times New Roman" w:hAnsi="Times New Roman" w:cs="Times New Roman"/>
                <w:b/>
                <w:bCs/>
                <w:sz w:val="16"/>
                <w:szCs w:val="16"/>
              </w:rPr>
              <w:t xml:space="preserve">Отчет о выполнении Плана мероприятий («дорожной карты») по улучшению показателей результативности, </w:t>
            </w:r>
            <w:r w:rsidRPr="00AF455F">
              <w:rPr>
                <w:rFonts w:ascii="Times New Roman" w:hAnsi="Times New Roman" w:cs="Times New Roman"/>
                <w:b/>
                <w:bCs/>
                <w:sz w:val="16"/>
                <w:szCs w:val="16"/>
              </w:rPr>
              <w:br/>
              <w:t>характеризующих социально-экономическое развитие, оценку эффективности деятельности органов местного самоуправления</w:t>
            </w:r>
          </w:p>
        </w:tc>
      </w:tr>
      <w:tr w:rsidR="00623E4C" w:rsidRPr="00AF455F" w:rsidTr="00921983">
        <w:trPr>
          <w:trHeight w:val="294"/>
        </w:trPr>
        <w:tc>
          <w:tcPr>
            <w:tcW w:w="15538" w:type="dxa"/>
            <w:gridSpan w:val="9"/>
            <w:hideMark/>
          </w:tcPr>
          <w:p w:rsidR="00623E4C" w:rsidRPr="00AF455F" w:rsidRDefault="00623E4C" w:rsidP="00921983">
            <w:pPr>
              <w:spacing w:after="160"/>
              <w:jc w:val="center"/>
              <w:rPr>
                <w:rFonts w:ascii="Times New Roman" w:hAnsi="Times New Roman" w:cs="Times New Roman"/>
                <w:b/>
                <w:bCs/>
                <w:sz w:val="16"/>
                <w:szCs w:val="16"/>
                <w:u w:val="single"/>
              </w:rPr>
            </w:pPr>
            <w:r w:rsidRPr="00AF455F">
              <w:rPr>
                <w:rFonts w:ascii="Times New Roman" w:hAnsi="Times New Roman" w:cs="Times New Roman"/>
                <w:b/>
                <w:bCs/>
                <w:sz w:val="16"/>
                <w:szCs w:val="16"/>
                <w:u w:val="single"/>
              </w:rPr>
              <w:t>по муниципальному образованию городской округ Пыть-Ях на 2019-2021 годы</w:t>
            </w:r>
          </w:p>
        </w:tc>
      </w:tr>
      <w:tr w:rsidR="00623E4C" w:rsidRPr="00AF455F" w:rsidTr="00921983">
        <w:trPr>
          <w:trHeight w:val="229"/>
        </w:trPr>
        <w:tc>
          <w:tcPr>
            <w:tcW w:w="15538" w:type="dxa"/>
            <w:gridSpan w:val="9"/>
            <w:hideMark/>
          </w:tcPr>
          <w:p w:rsidR="00623E4C" w:rsidRPr="00AF455F" w:rsidRDefault="00623E4C" w:rsidP="00921983">
            <w:pPr>
              <w:jc w:val="center"/>
              <w:rPr>
                <w:rFonts w:ascii="Times New Roman" w:hAnsi="Times New Roman" w:cs="Times New Roman"/>
                <w:b/>
                <w:bCs/>
                <w:sz w:val="16"/>
                <w:szCs w:val="16"/>
                <w:u w:val="single"/>
              </w:rPr>
            </w:pPr>
            <w:r w:rsidRPr="00AF455F">
              <w:rPr>
                <w:rFonts w:ascii="Times New Roman" w:hAnsi="Times New Roman" w:cs="Times New Roman"/>
                <w:b/>
                <w:bCs/>
                <w:sz w:val="16"/>
                <w:szCs w:val="16"/>
                <w:u w:val="single"/>
              </w:rPr>
              <w:t>за первое полугодие 2021 года</w:t>
            </w:r>
          </w:p>
        </w:tc>
      </w:tr>
      <w:tr w:rsidR="00623E4C" w:rsidRPr="00AF455F" w:rsidTr="00816DB4">
        <w:trPr>
          <w:trHeight w:val="276"/>
        </w:trPr>
        <w:tc>
          <w:tcPr>
            <w:tcW w:w="791" w:type="dxa"/>
            <w:hideMark/>
          </w:tcPr>
          <w:p w:rsidR="00623E4C" w:rsidRPr="00AF455F" w:rsidRDefault="00623E4C" w:rsidP="00623E4C">
            <w:pPr>
              <w:rPr>
                <w:rFonts w:ascii="Times New Roman" w:hAnsi="Times New Roman" w:cs="Times New Roman"/>
                <w:b/>
                <w:bCs/>
                <w:sz w:val="16"/>
                <w:szCs w:val="16"/>
                <w:u w:val="single"/>
              </w:rPr>
            </w:pPr>
          </w:p>
        </w:tc>
        <w:tc>
          <w:tcPr>
            <w:tcW w:w="2502" w:type="dxa"/>
            <w:hideMark/>
          </w:tcPr>
          <w:p w:rsidR="00623E4C" w:rsidRPr="00AF455F" w:rsidRDefault="00623E4C">
            <w:pPr>
              <w:rPr>
                <w:rFonts w:ascii="Times New Roman" w:hAnsi="Times New Roman" w:cs="Times New Roman"/>
                <w:sz w:val="16"/>
                <w:szCs w:val="16"/>
              </w:rPr>
            </w:pPr>
          </w:p>
        </w:tc>
        <w:tc>
          <w:tcPr>
            <w:tcW w:w="813" w:type="dxa"/>
            <w:hideMark/>
          </w:tcPr>
          <w:p w:rsidR="00623E4C" w:rsidRPr="00AF455F" w:rsidRDefault="00623E4C">
            <w:pPr>
              <w:rPr>
                <w:rFonts w:ascii="Times New Roman" w:hAnsi="Times New Roman" w:cs="Times New Roman"/>
                <w:sz w:val="16"/>
                <w:szCs w:val="16"/>
              </w:rPr>
            </w:pPr>
          </w:p>
        </w:tc>
        <w:tc>
          <w:tcPr>
            <w:tcW w:w="992" w:type="dxa"/>
            <w:hideMark/>
          </w:tcPr>
          <w:p w:rsidR="00623E4C" w:rsidRPr="00AF455F" w:rsidRDefault="00623E4C">
            <w:pPr>
              <w:rPr>
                <w:rFonts w:ascii="Times New Roman" w:hAnsi="Times New Roman" w:cs="Times New Roman"/>
                <w:sz w:val="16"/>
                <w:szCs w:val="16"/>
              </w:rPr>
            </w:pPr>
          </w:p>
        </w:tc>
        <w:tc>
          <w:tcPr>
            <w:tcW w:w="993" w:type="dxa"/>
            <w:hideMark/>
          </w:tcPr>
          <w:p w:rsidR="00623E4C" w:rsidRPr="00AF455F" w:rsidRDefault="00623E4C">
            <w:pPr>
              <w:rPr>
                <w:rFonts w:ascii="Times New Roman" w:hAnsi="Times New Roman" w:cs="Times New Roman"/>
                <w:sz w:val="16"/>
                <w:szCs w:val="16"/>
              </w:rPr>
            </w:pPr>
          </w:p>
        </w:tc>
        <w:tc>
          <w:tcPr>
            <w:tcW w:w="1134" w:type="dxa"/>
            <w:hideMark/>
          </w:tcPr>
          <w:p w:rsidR="00623E4C" w:rsidRPr="00AF455F" w:rsidRDefault="00623E4C">
            <w:pPr>
              <w:rPr>
                <w:rFonts w:ascii="Times New Roman" w:hAnsi="Times New Roman" w:cs="Times New Roman"/>
                <w:sz w:val="16"/>
                <w:szCs w:val="16"/>
              </w:rPr>
            </w:pPr>
          </w:p>
        </w:tc>
        <w:tc>
          <w:tcPr>
            <w:tcW w:w="1139" w:type="dxa"/>
            <w:hideMark/>
          </w:tcPr>
          <w:p w:rsidR="00623E4C" w:rsidRPr="00AF455F" w:rsidRDefault="00623E4C">
            <w:pPr>
              <w:rPr>
                <w:rFonts w:ascii="Times New Roman" w:hAnsi="Times New Roman" w:cs="Times New Roman"/>
                <w:sz w:val="16"/>
                <w:szCs w:val="16"/>
              </w:rPr>
            </w:pPr>
          </w:p>
        </w:tc>
        <w:tc>
          <w:tcPr>
            <w:tcW w:w="5612" w:type="dxa"/>
            <w:hideMark/>
          </w:tcPr>
          <w:p w:rsidR="00623E4C" w:rsidRPr="00AF455F" w:rsidRDefault="00623E4C">
            <w:pPr>
              <w:rPr>
                <w:rFonts w:ascii="Times New Roman" w:hAnsi="Times New Roman" w:cs="Times New Roman"/>
                <w:sz w:val="16"/>
                <w:szCs w:val="16"/>
              </w:rPr>
            </w:pPr>
          </w:p>
        </w:tc>
        <w:tc>
          <w:tcPr>
            <w:tcW w:w="1562" w:type="dxa"/>
            <w:hideMark/>
          </w:tcPr>
          <w:p w:rsidR="00623E4C" w:rsidRPr="00AF455F" w:rsidRDefault="00623E4C">
            <w:pPr>
              <w:rPr>
                <w:rFonts w:ascii="Times New Roman" w:hAnsi="Times New Roman" w:cs="Times New Roman"/>
                <w:sz w:val="16"/>
                <w:szCs w:val="16"/>
              </w:rPr>
            </w:pPr>
          </w:p>
        </w:tc>
      </w:tr>
      <w:tr w:rsidR="00623E4C" w:rsidRPr="00AF455F" w:rsidTr="00816DB4">
        <w:trPr>
          <w:trHeight w:val="413"/>
        </w:trPr>
        <w:tc>
          <w:tcPr>
            <w:tcW w:w="791" w:type="dxa"/>
            <w:vMerge w:val="restart"/>
            <w:hideMark/>
          </w:tcPr>
          <w:p w:rsidR="00623E4C" w:rsidRPr="00AF455F" w:rsidRDefault="00623E4C" w:rsidP="00816DB4">
            <w:pPr>
              <w:jc w:val="center"/>
              <w:rPr>
                <w:rFonts w:ascii="Times New Roman" w:hAnsi="Times New Roman" w:cs="Times New Roman"/>
                <w:b/>
                <w:bCs/>
                <w:sz w:val="16"/>
                <w:szCs w:val="16"/>
              </w:rPr>
            </w:pPr>
            <w:r w:rsidRPr="00AF455F">
              <w:rPr>
                <w:rFonts w:ascii="Times New Roman" w:hAnsi="Times New Roman" w:cs="Times New Roman"/>
                <w:b/>
                <w:bCs/>
                <w:sz w:val="16"/>
                <w:szCs w:val="16"/>
              </w:rPr>
              <w:t>Номер в докладе</w:t>
            </w:r>
          </w:p>
        </w:tc>
        <w:tc>
          <w:tcPr>
            <w:tcW w:w="2502" w:type="dxa"/>
            <w:vMerge w:val="restart"/>
            <w:hideMark/>
          </w:tcPr>
          <w:p w:rsidR="00623E4C" w:rsidRPr="00AF455F" w:rsidRDefault="00623E4C" w:rsidP="00623E4C">
            <w:pPr>
              <w:rPr>
                <w:rFonts w:ascii="Times New Roman" w:hAnsi="Times New Roman" w:cs="Times New Roman"/>
                <w:b/>
                <w:bCs/>
                <w:sz w:val="16"/>
                <w:szCs w:val="16"/>
              </w:rPr>
            </w:pPr>
            <w:r w:rsidRPr="00AF455F">
              <w:rPr>
                <w:rFonts w:ascii="Times New Roman" w:hAnsi="Times New Roman" w:cs="Times New Roman"/>
                <w:b/>
                <w:bCs/>
                <w:sz w:val="16"/>
                <w:szCs w:val="16"/>
              </w:rPr>
              <w:t>Наименование показателей</w:t>
            </w:r>
          </w:p>
        </w:tc>
        <w:tc>
          <w:tcPr>
            <w:tcW w:w="813" w:type="dxa"/>
            <w:vMerge w:val="restart"/>
            <w:hideMark/>
          </w:tcPr>
          <w:p w:rsidR="00623E4C" w:rsidRPr="00AF455F" w:rsidRDefault="00623E4C" w:rsidP="00623E4C">
            <w:pPr>
              <w:rPr>
                <w:rFonts w:ascii="Times New Roman" w:hAnsi="Times New Roman" w:cs="Times New Roman"/>
                <w:b/>
                <w:bCs/>
                <w:sz w:val="16"/>
                <w:szCs w:val="16"/>
              </w:rPr>
            </w:pPr>
            <w:r w:rsidRPr="00AF455F">
              <w:rPr>
                <w:rFonts w:ascii="Times New Roman" w:hAnsi="Times New Roman" w:cs="Times New Roman"/>
                <w:b/>
                <w:bCs/>
                <w:sz w:val="16"/>
                <w:szCs w:val="16"/>
              </w:rPr>
              <w:t>Единицы измерения</w:t>
            </w:r>
          </w:p>
        </w:tc>
        <w:tc>
          <w:tcPr>
            <w:tcW w:w="1985" w:type="dxa"/>
            <w:gridSpan w:val="2"/>
            <w:hideMark/>
          </w:tcPr>
          <w:p w:rsidR="00623E4C" w:rsidRPr="00AF455F" w:rsidRDefault="00623E4C" w:rsidP="00816DB4">
            <w:pPr>
              <w:jc w:val="center"/>
              <w:rPr>
                <w:rFonts w:ascii="Times New Roman" w:hAnsi="Times New Roman" w:cs="Times New Roman"/>
                <w:b/>
                <w:bCs/>
                <w:sz w:val="16"/>
                <w:szCs w:val="16"/>
              </w:rPr>
            </w:pPr>
            <w:r w:rsidRPr="00AF455F">
              <w:rPr>
                <w:rFonts w:ascii="Times New Roman" w:hAnsi="Times New Roman" w:cs="Times New Roman"/>
                <w:b/>
                <w:bCs/>
                <w:sz w:val="16"/>
                <w:szCs w:val="16"/>
              </w:rPr>
              <w:t>Отчет</w:t>
            </w:r>
          </w:p>
        </w:tc>
        <w:tc>
          <w:tcPr>
            <w:tcW w:w="2273" w:type="dxa"/>
            <w:gridSpan w:val="2"/>
            <w:hideMark/>
          </w:tcPr>
          <w:p w:rsidR="00623E4C" w:rsidRPr="00AF455F" w:rsidRDefault="00623E4C" w:rsidP="00816DB4">
            <w:pPr>
              <w:jc w:val="center"/>
              <w:rPr>
                <w:rFonts w:ascii="Times New Roman" w:hAnsi="Times New Roman" w:cs="Times New Roman"/>
                <w:b/>
                <w:bCs/>
                <w:sz w:val="16"/>
                <w:szCs w:val="16"/>
              </w:rPr>
            </w:pPr>
            <w:r w:rsidRPr="00AF455F">
              <w:rPr>
                <w:rFonts w:ascii="Times New Roman" w:hAnsi="Times New Roman" w:cs="Times New Roman"/>
                <w:b/>
                <w:bCs/>
                <w:sz w:val="16"/>
                <w:szCs w:val="16"/>
              </w:rPr>
              <w:t>Целевое значение показателя</w:t>
            </w:r>
          </w:p>
        </w:tc>
        <w:tc>
          <w:tcPr>
            <w:tcW w:w="5612" w:type="dxa"/>
            <w:vMerge w:val="restart"/>
            <w:hideMark/>
          </w:tcPr>
          <w:p w:rsidR="00623E4C" w:rsidRPr="00AF455F" w:rsidRDefault="00623E4C" w:rsidP="00816DB4">
            <w:pPr>
              <w:jc w:val="center"/>
              <w:rPr>
                <w:rFonts w:ascii="Times New Roman" w:hAnsi="Times New Roman" w:cs="Times New Roman"/>
                <w:b/>
                <w:bCs/>
                <w:sz w:val="16"/>
                <w:szCs w:val="16"/>
              </w:rPr>
            </w:pPr>
            <w:r w:rsidRPr="00AF455F">
              <w:rPr>
                <w:rFonts w:ascii="Times New Roman" w:hAnsi="Times New Roman" w:cs="Times New Roman"/>
                <w:b/>
                <w:bCs/>
                <w:sz w:val="16"/>
                <w:szCs w:val="16"/>
              </w:rPr>
              <w:t>Результаты проведенных мероприятий</w:t>
            </w:r>
          </w:p>
        </w:tc>
        <w:tc>
          <w:tcPr>
            <w:tcW w:w="1562" w:type="dxa"/>
            <w:vMerge w:val="restart"/>
            <w:hideMark/>
          </w:tcPr>
          <w:p w:rsidR="00623E4C" w:rsidRPr="00AF455F" w:rsidRDefault="00623E4C" w:rsidP="00816DB4">
            <w:pPr>
              <w:jc w:val="center"/>
              <w:rPr>
                <w:rFonts w:ascii="Times New Roman" w:hAnsi="Times New Roman" w:cs="Times New Roman"/>
                <w:b/>
                <w:bCs/>
                <w:sz w:val="16"/>
                <w:szCs w:val="16"/>
              </w:rPr>
            </w:pPr>
            <w:r w:rsidRPr="00AF455F">
              <w:rPr>
                <w:rFonts w:ascii="Times New Roman" w:hAnsi="Times New Roman" w:cs="Times New Roman"/>
                <w:b/>
                <w:bCs/>
                <w:sz w:val="16"/>
                <w:szCs w:val="16"/>
              </w:rPr>
              <w:t>Исполнитель</w:t>
            </w:r>
          </w:p>
        </w:tc>
      </w:tr>
      <w:tr w:rsidR="00623E4C" w:rsidRPr="00AF455F" w:rsidTr="00DA036A">
        <w:trPr>
          <w:trHeight w:val="420"/>
        </w:trPr>
        <w:tc>
          <w:tcPr>
            <w:tcW w:w="791" w:type="dxa"/>
            <w:vMerge/>
            <w:hideMark/>
          </w:tcPr>
          <w:p w:rsidR="00623E4C" w:rsidRPr="00AF455F" w:rsidRDefault="00623E4C">
            <w:pPr>
              <w:rPr>
                <w:rFonts w:ascii="Times New Roman" w:hAnsi="Times New Roman" w:cs="Times New Roman"/>
                <w:b/>
                <w:bCs/>
                <w:sz w:val="16"/>
                <w:szCs w:val="16"/>
              </w:rPr>
            </w:pPr>
          </w:p>
        </w:tc>
        <w:tc>
          <w:tcPr>
            <w:tcW w:w="2502" w:type="dxa"/>
            <w:vMerge/>
            <w:hideMark/>
          </w:tcPr>
          <w:p w:rsidR="00623E4C" w:rsidRPr="00AF455F" w:rsidRDefault="00623E4C">
            <w:pPr>
              <w:rPr>
                <w:rFonts w:ascii="Times New Roman" w:hAnsi="Times New Roman" w:cs="Times New Roman"/>
                <w:b/>
                <w:bCs/>
                <w:sz w:val="16"/>
                <w:szCs w:val="16"/>
              </w:rPr>
            </w:pPr>
          </w:p>
        </w:tc>
        <w:tc>
          <w:tcPr>
            <w:tcW w:w="813" w:type="dxa"/>
            <w:vMerge/>
            <w:hideMark/>
          </w:tcPr>
          <w:p w:rsidR="00623E4C" w:rsidRPr="00AF455F" w:rsidRDefault="00623E4C">
            <w:pPr>
              <w:rPr>
                <w:rFonts w:ascii="Times New Roman" w:hAnsi="Times New Roman" w:cs="Times New Roman"/>
                <w:b/>
                <w:bCs/>
                <w:sz w:val="16"/>
                <w:szCs w:val="16"/>
              </w:rPr>
            </w:pPr>
          </w:p>
        </w:tc>
        <w:tc>
          <w:tcPr>
            <w:tcW w:w="992" w:type="dxa"/>
            <w:hideMark/>
          </w:tcPr>
          <w:p w:rsidR="00623E4C" w:rsidRPr="00AF455F" w:rsidRDefault="00623E4C" w:rsidP="00816DB4">
            <w:pPr>
              <w:jc w:val="center"/>
              <w:rPr>
                <w:rFonts w:ascii="Times New Roman" w:hAnsi="Times New Roman" w:cs="Times New Roman"/>
                <w:b/>
                <w:bCs/>
                <w:sz w:val="16"/>
                <w:szCs w:val="16"/>
              </w:rPr>
            </w:pPr>
            <w:r w:rsidRPr="00AF455F">
              <w:rPr>
                <w:rFonts w:ascii="Times New Roman" w:hAnsi="Times New Roman" w:cs="Times New Roman"/>
                <w:b/>
                <w:bCs/>
                <w:sz w:val="16"/>
                <w:szCs w:val="16"/>
              </w:rPr>
              <w:t>2019</w:t>
            </w:r>
          </w:p>
        </w:tc>
        <w:tc>
          <w:tcPr>
            <w:tcW w:w="993" w:type="dxa"/>
            <w:hideMark/>
          </w:tcPr>
          <w:p w:rsidR="00623E4C" w:rsidRPr="00AF455F" w:rsidRDefault="00623E4C" w:rsidP="00816DB4">
            <w:pPr>
              <w:jc w:val="center"/>
              <w:rPr>
                <w:rFonts w:ascii="Times New Roman" w:hAnsi="Times New Roman" w:cs="Times New Roman"/>
                <w:b/>
                <w:bCs/>
                <w:sz w:val="16"/>
                <w:szCs w:val="16"/>
              </w:rPr>
            </w:pPr>
            <w:r w:rsidRPr="00AF455F">
              <w:rPr>
                <w:rFonts w:ascii="Times New Roman" w:hAnsi="Times New Roman" w:cs="Times New Roman"/>
                <w:b/>
                <w:bCs/>
                <w:sz w:val="16"/>
                <w:szCs w:val="16"/>
              </w:rPr>
              <w:t>2020</w:t>
            </w:r>
          </w:p>
        </w:tc>
        <w:tc>
          <w:tcPr>
            <w:tcW w:w="1134" w:type="dxa"/>
            <w:hideMark/>
          </w:tcPr>
          <w:p w:rsidR="00623E4C" w:rsidRPr="00AF455F" w:rsidRDefault="00623E4C" w:rsidP="00816DB4">
            <w:pPr>
              <w:jc w:val="center"/>
              <w:rPr>
                <w:rFonts w:ascii="Times New Roman" w:hAnsi="Times New Roman" w:cs="Times New Roman"/>
                <w:b/>
                <w:bCs/>
                <w:sz w:val="16"/>
                <w:szCs w:val="16"/>
              </w:rPr>
            </w:pPr>
            <w:r w:rsidRPr="00AF455F">
              <w:rPr>
                <w:rFonts w:ascii="Times New Roman" w:hAnsi="Times New Roman" w:cs="Times New Roman"/>
                <w:b/>
                <w:bCs/>
                <w:sz w:val="16"/>
                <w:szCs w:val="16"/>
              </w:rPr>
              <w:t>план 2021</w:t>
            </w:r>
          </w:p>
        </w:tc>
        <w:tc>
          <w:tcPr>
            <w:tcW w:w="1139" w:type="dxa"/>
            <w:hideMark/>
          </w:tcPr>
          <w:p w:rsidR="00623E4C" w:rsidRPr="00AF455F" w:rsidRDefault="00623E4C" w:rsidP="00816DB4">
            <w:pPr>
              <w:jc w:val="center"/>
              <w:rPr>
                <w:rFonts w:ascii="Times New Roman" w:hAnsi="Times New Roman" w:cs="Times New Roman"/>
                <w:b/>
                <w:bCs/>
                <w:sz w:val="16"/>
                <w:szCs w:val="16"/>
              </w:rPr>
            </w:pPr>
            <w:r w:rsidRPr="00AF455F">
              <w:rPr>
                <w:rFonts w:ascii="Times New Roman" w:hAnsi="Times New Roman" w:cs="Times New Roman"/>
                <w:b/>
                <w:bCs/>
                <w:sz w:val="16"/>
                <w:szCs w:val="16"/>
              </w:rPr>
              <w:t>факт на 01.07.2021</w:t>
            </w:r>
          </w:p>
        </w:tc>
        <w:tc>
          <w:tcPr>
            <w:tcW w:w="5612" w:type="dxa"/>
            <w:vMerge/>
            <w:hideMark/>
          </w:tcPr>
          <w:p w:rsidR="00623E4C" w:rsidRPr="00AF455F" w:rsidRDefault="00623E4C">
            <w:pPr>
              <w:rPr>
                <w:rFonts w:ascii="Times New Roman" w:hAnsi="Times New Roman" w:cs="Times New Roman"/>
                <w:b/>
                <w:bCs/>
                <w:sz w:val="16"/>
                <w:szCs w:val="16"/>
              </w:rPr>
            </w:pPr>
          </w:p>
        </w:tc>
        <w:tc>
          <w:tcPr>
            <w:tcW w:w="1562" w:type="dxa"/>
            <w:vMerge/>
            <w:hideMark/>
          </w:tcPr>
          <w:p w:rsidR="00623E4C" w:rsidRPr="00AF455F" w:rsidRDefault="00623E4C">
            <w:pPr>
              <w:rPr>
                <w:rFonts w:ascii="Times New Roman" w:hAnsi="Times New Roman" w:cs="Times New Roman"/>
                <w:b/>
                <w:bCs/>
                <w:sz w:val="16"/>
                <w:szCs w:val="16"/>
              </w:rPr>
            </w:pPr>
          </w:p>
        </w:tc>
      </w:tr>
      <w:tr w:rsidR="00623E4C" w:rsidRPr="00AF455F" w:rsidTr="00AF455F">
        <w:trPr>
          <w:trHeight w:val="312"/>
        </w:trPr>
        <w:tc>
          <w:tcPr>
            <w:tcW w:w="791"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14747" w:type="dxa"/>
            <w:gridSpan w:val="8"/>
            <w:noWrap/>
            <w:hideMark/>
          </w:tcPr>
          <w:p w:rsidR="00623E4C" w:rsidRPr="00AF455F" w:rsidRDefault="00623E4C" w:rsidP="00DA036A">
            <w:pPr>
              <w:jc w:val="center"/>
              <w:rPr>
                <w:rFonts w:ascii="Times New Roman" w:hAnsi="Times New Roman" w:cs="Times New Roman"/>
                <w:b/>
                <w:bCs/>
                <w:sz w:val="16"/>
                <w:szCs w:val="16"/>
              </w:rPr>
            </w:pPr>
            <w:r w:rsidRPr="00AF455F">
              <w:rPr>
                <w:rFonts w:ascii="Times New Roman" w:hAnsi="Times New Roman" w:cs="Times New Roman"/>
                <w:b/>
                <w:bCs/>
                <w:sz w:val="16"/>
                <w:szCs w:val="16"/>
              </w:rPr>
              <w:t>Экономическое развитие</w:t>
            </w:r>
          </w:p>
        </w:tc>
      </w:tr>
      <w:tr w:rsidR="00623E4C" w:rsidRPr="00AF455F" w:rsidTr="00816DB4">
        <w:trPr>
          <w:trHeight w:val="4943"/>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1*</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Число субъектов малого и среднего предпринимательства в расчете на 10 тыс. человек населения</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Единица</w:t>
            </w:r>
          </w:p>
        </w:tc>
        <w:tc>
          <w:tcPr>
            <w:tcW w:w="992" w:type="dxa"/>
            <w:noWrap/>
            <w:hideMark/>
          </w:tcPr>
          <w:p w:rsidR="00623E4C" w:rsidRPr="00AF455F" w:rsidRDefault="00623E4C" w:rsidP="00EE6D69">
            <w:pPr>
              <w:ind w:left="-34"/>
              <w:jc w:val="center"/>
              <w:rPr>
                <w:rFonts w:ascii="Times New Roman" w:hAnsi="Times New Roman" w:cs="Times New Roman"/>
                <w:sz w:val="16"/>
                <w:szCs w:val="16"/>
              </w:rPr>
            </w:pPr>
            <w:r w:rsidRPr="00AF455F">
              <w:rPr>
                <w:rFonts w:ascii="Times New Roman" w:hAnsi="Times New Roman" w:cs="Times New Roman"/>
                <w:sz w:val="16"/>
                <w:szCs w:val="16"/>
              </w:rPr>
              <w:t>359,2</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354,2</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357,6</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354,6</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По предварительным данным запланированный показатель на 2021 год по состоянию на 01.07.2021 года не достигнут, уровень достижения показателя к 2020г. - 100,1%; к плану 2021г. - 99,2%. Показатель оценивается по итогам года.</w:t>
            </w:r>
            <w:r w:rsidRPr="00AF455F">
              <w:rPr>
                <w:rFonts w:ascii="Times New Roman" w:hAnsi="Times New Roman" w:cs="Times New Roman"/>
                <w:sz w:val="16"/>
                <w:szCs w:val="16"/>
              </w:rPr>
              <w:br/>
              <w:t>Мероприятия запланированы по подпрограмме 3 «Развитие малого и среднего предпринимательства» муниципальной программы «Развитие экономического потенциала города Пыть-Яха», утвержденной постановлением администрации города от 10.12.2018 №423-па:</w:t>
            </w:r>
            <w:r w:rsidRPr="00AF455F">
              <w:rPr>
                <w:rFonts w:ascii="Times New Roman" w:hAnsi="Times New Roman" w:cs="Times New Roman"/>
                <w:sz w:val="16"/>
                <w:szCs w:val="16"/>
              </w:rPr>
              <w:br/>
              <w:t>1) оказана информационно-консультационная поддержка по 15 обращениям от субъектов малого предпринимательства и физических лиц.</w:t>
            </w:r>
            <w:r w:rsidRPr="00AF455F">
              <w:rPr>
                <w:rFonts w:ascii="Times New Roman" w:hAnsi="Times New Roman" w:cs="Times New Roman"/>
                <w:sz w:val="16"/>
                <w:szCs w:val="16"/>
              </w:rPr>
              <w:br/>
              <w:t>2) 3 индивидуальным предпринимателям, осуществляющим деятельность в сфере социального предпринимательства, оказано содействие в получении статуса «социальное предприятие».</w:t>
            </w:r>
            <w:r w:rsidRPr="00AF455F">
              <w:rPr>
                <w:rFonts w:ascii="Times New Roman" w:hAnsi="Times New Roman" w:cs="Times New Roman"/>
                <w:sz w:val="16"/>
                <w:szCs w:val="16"/>
              </w:rPr>
              <w:br/>
              <w:t>3) 26.05.2021г. организован онлайн вебинар на тему: «Актуальные вопросы в области применения налогового законодательства и пожарной безопасности» (25 участников).</w:t>
            </w:r>
            <w:r w:rsidRPr="00AF455F">
              <w:rPr>
                <w:rFonts w:ascii="Times New Roman" w:hAnsi="Times New Roman" w:cs="Times New Roman"/>
                <w:sz w:val="16"/>
                <w:szCs w:val="16"/>
              </w:rPr>
              <w:br/>
              <w:t>4) 28.05.2021г. организован «круглый стол» на тему: «Исполнение требований к антитеррористической защищенности торговых объектов» (6 участников).</w:t>
            </w:r>
            <w:r w:rsidRPr="00AF455F">
              <w:rPr>
                <w:rFonts w:ascii="Times New Roman" w:hAnsi="Times New Roman" w:cs="Times New Roman"/>
                <w:sz w:val="16"/>
                <w:szCs w:val="16"/>
              </w:rPr>
              <w:br/>
              <w:t>5) 07.04.2021г., совместно с МРИ ФНС №7 по ХМАО – Югре, проведена информационно – разъяснительная работа среди сотрудников организаций бытового обслуживания г.Пыть-Яха по продвижению образа «самозанятых» граждан (13 участников).</w:t>
            </w:r>
            <w:r w:rsidRPr="00AF455F">
              <w:rPr>
                <w:rFonts w:ascii="Times New Roman" w:hAnsi="Times New Roman" w:cs="Times New Roman"/>
                <w:sz w:val="16"/>
                <w:szCs w:val="16"/>
              </w:rPr>
              <w:br/>
              <w:t>6) 14.04.2021г., совместно с МРИ ФНС №7 по ХМАО – Югре, проведена информационно – разъяснительная работа среди граждан, осуществляющих пассажирские перевозки по продвижению образа «самозанятых» граждан (12 участников).</w:t>
            </w:r>
          </w:p>
        </w:tc>
        <w:tc>
          <w:tcPr>
            <w:tcW w:w="1562" w:type="dxa"/>
            <w:vMerge w:val="restart"/>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Управление по экономике</w:t>
            </w:r>
          </w:p>
        </w:tc>
      </w:tr>
      <w:tr w:rsidR="00623E4C" w:rsidRPr="00AF455F" w:rsidTr="00816DB4">
        <w:trPr>
          <w:trHeight w:val="1344"/>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2*</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16,9</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20,7</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20,8</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20,6</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По предварительным данным запланированный показатель на 2021 год по состоянию на 01.07.2021 года не достигнут, уровень достижения показателя к 2020г. - 99,1 %; к плану 2021г. - 98,8%. Показатель оценивается по итогам года.</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816DB4">
        <w:trPr>
          <w:trHeight w:val="1399"/>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lastRenderedPageBreak/>
              <w:t>3*</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Объем инвестиций в основной капитал (за исключением бюджетных средств) в расчете на 1 жителя</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Рубль</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40 258,0</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49</w:t>
            </w:r>
            <w:r w:rsidR="00EE6D69">
              <w:rPr>
                <w:rFonts w:ascii="Times New Roman" w:hAnsi="Times New Roman" w:cs="Times New Roman"/>
                <w:sz w:val="16"/>
                <w:szCs w:val="16"/>
              </w:rPr>
              <w:t> </w:t>
            </w:r>
            <w:r w:rsidRPr="00AF455F">
              <w:rPr>
                <w:rFonts w:ascii="Times New Roman" w:hAnsi="Times New Roman" w:cs="Times New Roman"/>
                <w:sz w:val="16"/>
                <w:szCs w:val="16"/>
              </w:rPr>
              <w:t>915,0</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49 297,0</w:t>
            </w:r>
          </w:p>
        </w:tc>
        <w:tc>
          <w:tcPr>
            <w:tcW w:w="1139" w:type="dxa"/>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 xml:space="preserve">* Статистическая </w:t>
            </w:r>
            <w:r w:rsidRPr="00AF455F">
              <w:rPr>
                <w:rFonts w:ascii="Times New Roman" w:hAnsi="Times New Roman" w:cs="Times New Roman"/>
                <w:sz w:val="16"/>
                <w:szCs w:val="16"/>
              </w:rPr>
              <w:br/>
              <w:t>информация по состоянию на 01.07.2021г. отсутствует</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Согласно методике расчета, данные по показателю формируются на основе статистической формы №П-2 (инвест) по крупным и средним организациям, не являющимся субъектами малого предпринимательства. </w:t>
            </w:r>
            <w:r w:rsidRPr="00AF455F">
              <w:rPr>
                <w:rFonts w:ascii="Times New Roman" w:hAnsi="Times New Roman" w:cs="Times New Roman"/>
                <w:sz w:val="16"/>
                <w:szCs w:val="16"/>
              </w:rPr>
              <w:br/>
              <w:t>В целях привлечения инвесторов проведены следующие мероприятия:</w:t>
            </w:r>
            <w:r w:rsidRPr="00AF455F">
              <w:rPr>
                <w:rFonts w:ascii="Times New Roman" w:hAnsi="Times New Roman" w:cs="Times New Roman"/>
                <w:sz w:val="16"/>
                <w:szCs w:val="16"/>
              </w:rPr>
              <w:br/>
              <w:t xml:space="preserve">- размещен в открытом доступе инвестиционный паспорт (на официальном сайте администрации города https://adm.gov86.org/399/591/774/788/; на Инвестиционном портале города Пыть-Ях http://invest.gov86.org/investitsionnyy-pasport-g-pyt-yakh/; на Инвестиционном портале ХМАО – Югры http://investugra.ru/rus/articles/rus/o-regione/obshchie-svedeniya/karta-mu;  yakh/;  в социальных сетях на официальных страницах администрации города;  </w:t>
            </w:r>
            <w:r w:rsidRPr="00AF455F">
              <w:rPr>
                <w:rFonts w:ascii="Times New Roman" w:hAnsi="Times New Roman" w:cs="Times New Roman"/>
                <w:sz w:val="16"/>
                <w:szCs w:val="16"/>
              </w:rPr>
              <w:br/>
              <w:t xml:space="preserve">- организован специализированный интернет - ресурс муниципального образования об инвестиционной деятельности, обеспечивающий прямой канал связи органов местного самоуправления с инвесторами https://adm.gov86.org/399/591/774/2526/ (за  1 полугодие 2021г поступило и отработано 38 заявок) ;                                                                - оказывается информационная и консультационная поддержка, проводятся мероприятия по популяризации предпринимательской деятельности, в т. ч. на базе МФЦ открыто «окно для бизнеса» (оказано 15 консультаций СМСП, ч/з МФЦ "окно для бизнеса" - 443 услуги  ); </w:t>
            </w:r>
            <w:r w:rsidRPr="00AF455F">
              <w:rPr>
                <w:rFonts w:ascii="Times New Roman" w:hAnsi="Times New Roman" w:cs="Times New Roman"/>
                <w:sz w:val="16"/>
                <w:szCs w:val="16"/>
              </w:rPr>
              <w:br/>
              <w:t>- сформирован перечень инвестиционных площадок города, свободных земельных участков в городе, перечень застроенных территорий города, предполагаемые к развитию (размещено 5 инвестиционных площадок, в т.ч. 2  промышленные). Информация размещается в разделе «Инвестиционная деятельность»: https://adm.gov86.org/399/591/774/1618/ и поддерживается в актуальном состоянии.</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Управление по экономике</w:t>
            </w:r>
          </w:p>
        </w:tc>
      </w:tr>
      <w:tr w:rsidR="00623E4C" w:rsidRPr="00AF455F" w:rsidTr="00816DB4">
        <w:trPr>
          <w:trHeight w:val="2438"/>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4</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99,93</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99,93</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99,93</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100,00</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Запланированный показатель на 2021 год достигнут, уровень достижения показателя к 2020г. - 100,1%, к плану 2021г. -100,1%.</w:t>
            </w:r>
            <w:r w:rsidRPr="00AF455F">
              <w:rPr>
                <w:rFonts w:ascii="Times New Roman" w:hAnsi="Times New Roman" w:cs="Times New Roman"/>
                <w:sz w:val="16"/>
                <w:szCs w:val="16"/>
              </w:rPr>
              <w:br w:type="page"/>
              <w:t xml:space="preserve">Доля площади земельных участков, являющихся объектами </w:t>
            </w:r>
            <w:r w:rsidRPr="00AF455F">
              <w:rPr>
                <w:rFonts w:ascii="Times New Roman" w:hAnsi="Times New Roman" w:cs="Times New Roman"/>
                <w:sz w:val="16"/>
                <w:szCs w:val="16"/>
              </w:rPr>
              <w:br w:type="page"/>
              <w:t xml:space="preserve">налогообложения земельным налогом, в общей площади территории городского округа город Пыть-Ях, подлежащая налогообложению в соответствии с действующим законодательством по состоянию на 01.07.2021 года составила 100%. </w:t>
            </w:r>
            <w:r w:rsidRPr="00AF455F">
              <w:rPr>
                <w:rFonts w:ascii="Times New Roman" w:hAnsi="Times New Roman" w:cs="Times New Roman"/>
                <w:sz w:val="16"/>
                <w:szCs w:val="16"/>
              </w:rPr>
              <w:br w:type="page"/>
              <w:t>Заключено 6 договоров купли-продажи земельных участков площадью 0.98 га; предоставлено в собственность бесплатно 45 земельных участка (садоводство) - 3.38 га; льготным категориям граждан предоставлено 16 земельных участков площадью 1.39 га; прекращено право постоянного (бессрочного) пользования в отношении 1 земельного  участка площадью 0.5483 га. Все предоставленные земельные участки являются объектами налогообложения.</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Управление по муниципальному имуществу</w:t>
            </w:r>
          </w:p>
        </w:tc>
      </w:tr>
      <w:tr w:rsidR="00623E4C" w:rsidRPr="00AF455F" w:rsidTr="00816DB4">
        <w:trPr>
          <w:trHeight w:val="552"/>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5</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прибыльных сельскохозяйственных организаций в общем их числе</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5612" w:type="dxa"/>
            <w:hideMark/>
          </w:tcPr>
          <w:p w:rsidR="00623E4C" w:rsidRPr="00AF455F" w:rsidRDefault="000D39C2">
            <w:pPr>
              <w:rPr>
                <w:rFonts w:ascii="Times New Roman" w:hAnsi="Times New Roman" w:cs="Times New Roman"/>
                <w:sz w:val="16"/>
                <w:szCs w:val="16"/>
              </w:rPr>
            </w:pPr>
            <w:r>
              <w:rPr>
                <w:rFonts w:ascii="Times New Roman" w:hAnsi="Times New Roman" w:cs="Times New Roman"/>
                <w:sz w:val="16"/>
                <w:szCs w:val="16"/>
              </w:rPr>
              <w:t>Сельскохозяйственные организации на территории города не зарегистрированы.</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Управление по экономике</w:t>
            </w:r>
          </w:p>
        </w:tc>
      </w:tr>
      <w:tr w:rsidR="00623E4C" w:rsidRPr="00AF455F" w:rsidTr="00816DB4">
        <w:trPr>
          <w:trHeight w:val="2352"/>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6</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0,07</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Запланированный показатель на 2021 год не достигнут, по состоянию на 01.07.2021г. показатель составил 0,07%. В 2021 году запланирован текущий ремонт автомобильных дорог протяженностью 6,52 </w:t>
            </w:r>
            <w:proofErr w:type="gramStart"/>
            <w:r w:rsidRPr="00AF455F">
              <w:rPr>
                <w:rFonts w:ascii="Times New Roman" w:hAnsi="Times New Roman" w:cs="Times New Roman"/>
                <w:sz w:val="16"/>
                <w:szCs w:val="16"/>
              </w:rPr>
              <w:t>км.:</w:t>
            </w:r>
            <w:proofErr w:type="gramEnd"/>
            <w:r w:rsidRPr="00AF455F">
              <w:rPr>
                <w:rFonts w:ascii="Times New Roman" w:hAnsi="Times New Roman" w:cs="Times New Roman"/>
                <w:sz w:val="16"/>
                <w:szCs w:val="16"/>
              </w:rPr>
              <w:t xml:space="preserve"> ул. Центральная (0,391 км), ул. В. Высотского (0,404 км), ул. Кедровая (0,050 км.), Евгения Котина (0,770 км.), ул. Семена Урусова (0,590 км), ул. Транспортная (0,670 км.), ул. Белых ночей (0,843 км.), ул. Тюменский тракт (2,8 км.).</w:t>
            </w:r>
            <w:r w:rsidRPr="00AF455F">
              <w:rPr>
                <w:rFonts w:ascii="Times New Roman" w:hAnsi="Times New Roman" w:cs="Times New Roman"/>
                <w:sz w:val="16"/>
                <w:szCs w:val="16"/>
              </w:rPr>
              <w:br/>
              <w:t>По состоянию на 01.07.2021. выполнен ремонт автомобильных дорог протяженностью 0,845 км: ул. Центральная (0,391 км), ул. В. Высотского (0,404 км), ул. Кедровая (0,050 км.).</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Управление по жилищно-коммунальному комплексу, транспорту и дорогам</w:t>
            </w:r>
          </w:p>
        </w:tc>
      </w:tr>
      <w:tr w:rsidR="00623E4C" w:rsidRPr="00AF455F" w:rsidTr="00816DB4">
        <w:trPr>
          <w:trHeight w:val="1572"/>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lastRenderedPageBreak/>
              <w:t>7</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Население муниципального образования городской округ Пыть-Ях обеспечено регулярным автобусным сообщением. </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Управление по жилищно-коммунальному комплексу, транспорту и дорогам</w:t>
            </w:r>
          </w:p>
        </w:tc>
      </w:tr>
      <w:tr w:rsidR="00AF455F" w:rsidRPr="00AF455F" w:rsidTr="00816DB4">
        <w:trPr>
          <w:trHeight w:val="655"/>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8</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Среднемесячная номинальная начисленная заработная плата работников</w:t>
            </w:r>
          </w:p>
        </w:tc>
        <w:tc>
          <w:tcPr>
            <w:tcW w:w="5071" w:type="dxa"/>
            <w:gridSpan w:val="5"/>
            <w:hideMark/>
          </w:tcPr>
          <w:p w:rsidR="00623E4C" w:rsidRPr="00AF455F" w:rsidRDefault="00623E4C" w:rsidP="00EE6D69">
            <w:pPr>
              <w:jc w:val="center"/>
              <w:rPr>
                <w:rFonts w:ascii="Times New Roman" w:hAnsi="Times New Roman" w:cs="Times New Roman"/>
                <w:sz w:val="16"/>
                <w:szCs w:val="16"/>
              </w:rPr>
            </w:pPr>
          </w:p>
        </w:tc>
        <w:tc>
          <w:tcPr>
            <w:tcW w:w="5612"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w:t>
            </w:r>
          </w:p>
        </w:tc>
      </w:tr>
      <w:tr w:rsidR="00623E4C" w:rsidRPr="00AF455F" w:rsidTr="00816DB4">
        <w:trPr>
          <w:trHeight w:val="4236"/>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8.1.</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Среднемесячная номинальная начисленная заработная плата работников: крупных и средних предприятий и некоммерческих организаций</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Рубль</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68 225,7</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71 278,7</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74 129,8</w:t>
            </w:r>
          </w:p>
        </w:tc>
        <w:tc>
          <w:tcPr>
            <w:tcW w:w="1139" w:type="dxa"/>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 xml:space="preserve">Статистическая информация </w:t>
            </w:r>
            <w:r w:rsidRPr="00AF455F">
              <w:rPr>
                <w:rFonts w:ascii="Times New Roman" w:hAnsi="Times New Roman" w:cs="Times New Roman"/>
                <w:sz w:val="16"/>
                <w:szCs w:val="16"/>
              </w:rPr>
              <w:br/>
              <w:t xml:space="preserve">по состоянию на 01.07.2021г. отсутствует, по состоянию на 01.04.2021г.- </w:t>
            </w:r>
            <w:r w:rsidRPr="00AF455F">
              <w:rPr>
                <w:rFonts w:ascii="Times New Roman" w:hAnsi="Times New Roman" w:cs="Times New Roman"/>
                <w:sz w:val="16"/>
                <w:szCs w:val="16"/>
              </w:rPr>
              <w:br/>
            </w:r>
            <w:r w:rsidR="002E6EF4">
              <w:rPr>
                <w:rFonts w:ascii="Times New Roman" w:hAnsi="Times New Roman" w:cs="Times New Roman"/>
                <w:sz w:val="16"/>
                <w:szCs w:val="16"/>
              </w:rPr>
              <w:t>69 016</w:t>
            </w:r>
            <w:r w:rsidR="00816DB4">
              <w:rPr>
                <w:rFonts w:ascii="Times New Roman" w:hAnsi="Times New Roman" w:cs="Times New Roman"/>
                <w:sz w:val="16"/>
                <w:szCs w:val="16"/>
              </w:rPr>
              <w:t xml:space="preserve"> </w:t>
            </w:r>
            <w:r w:rsidRPr="00AF455F">
              <w:rPr>
                <w:rFonts w:ascii="Times New Roman" w:hAnsi="Times New Roman" w:cs="Times New Roman"/>
                <w:sz w:val="16"/>
                <w:szCs w:val="16"/>
              </w:rPr>
              <w:t>руб.</w:t>
            </w:r>
          </w:p>
        </w:tc>
        <w:tc>
          <w:tcPr>
            <w:tcW w:w="5612" w:type="dxa"/>
            <w:hideMark/>
          </w:tcPr>
          <w:p w:rsidR="00623E4C" w:rsidRPr="00AF455F" w:rsidRDefault="00623E4C" w:rsidP="003D25AD">
            <w:pPr>
              <w:spacing w:after="160"/>
              <w:rPr>
                <w:rFonts w:ascii="Times New Roman" w:hAnsi="Times New Roman" w:cs="Times New Roman"/>
                <w:sz w:val="16"/>
                <w:szCs w:val="16"/>
              </w:rPr>
            </w:pPr>
            <w:r w:rsidRPr="00AF455F">
              <w:rPr>
                <w:rFonts w:ascii="Times New Roman" w:hAnsi="Times New Roman" w:cs="Times New Roman"/>
                <w:sz w:val="16"/>
                <w:szCs w:val="16"/>
              </w:rPr>
              <w:t xml:space="preserve">Согласно методике расчета, источником информации является Росстат. Статистическая информация по состоянию на 01.07.2021г. отсутствует, по состоянию на 01.04.2021г.- </w:t>
            </w:r>
            <w:r w:rsidRPr="00AF455F">
              <w:rPr>
                <w:rFonts w:ascii="Times New Roman" w:hAnsi="Times New Roman" w:cs="Times New Roman"/>
                <w:sz w:val="16"/>
                <w:szCs w:val="16"/>
              </w:rPr>
              <w:br/>
              <w:t>69 016,9 рублей.</w:t>
            </w:r>
            <w:r w:rsidRPr="00AF455F">
              <w:rPr>
                <w:rFonts w:ascii="Times New Roman" w:hAnsi="Times New Roman" w:cs="Times New Roman"/>
                <w:sz w:val="16"/>
                <w:szCs w:val="16"/>
              </w:rPr>
              <w:br/>
              <w:t xml:space="preserve">В отчётном периоде  проведено: </w:t>
            </w:r>
            <w:r w:rsidRPr="00AF455F">
              <w:rPr>
                <w:rFonts w:ascii="Times New Roman" w:hAnsi="Times New Roman" w:cs="Times New Roman"/>
                <w:sz w:val="16"/>
                <w:szCs w:val="16"/>
              </w:rPr>
              <w:br/>
              <w:t xml:space="preserve"> - 2 заседания рабочей группы по стабилизации городского рынка труда при трехсторонней комиссии по регулированию социально – трудовых отношений, рассмотрено 5 вопросов;</w:t>
            </w:r>
            <w:r w:rsidRPr="00AF455F">
              <w:rPr>
                <w:rFonts w:ascii="Times New Roman" w:hAnsi="Times New Roman" w:cs="Times New Roman"/>
                <w:sz w:val="16"/>
                <w:szCs w:val="16"/>
              </w:rPr>
              <w:br/>
              <w:t xml:space="preserve">  - 1 заседание рабочей группы по рассмотрению проектов муниципальных нормативных правовых актов, призванных регулировать отношения в сфере труда, при муниципальной трехсторонней комиссии по регулированию социально – трудовых отношений, рассмотрено 4 вопроса;                                                                                                                                                                                       </w:t>
            </w:r>
            <w:r w:rsidRPr="00AF455F">
              <w:rPr>
                <w:rFonts w:ascii="Times New Roman" w:hAnsi="Times New Roman" w:cs="Times New Roman"/>
                <w:sz w:val="16"/>
                <w:szCs w:val="16"/>
              </w:rPr>
              <w:br/>
              <w:t xml:space="preserve"> - 2 заседания рабочей группы по снижению неформальной занятости,  легализации "теневой" заработной платы, повышению собираемости страховых взносов во внебюджетные фонды, рассмотрено 6 вопросов.                                                                                                                                                                                                                                                                               </w:t>
            </w:r>
            <w:r w:rsidR="003D25AD">
              <w:rPr>
                <w:rFonts w:ascii="Times New Roman" w:hAnsi="Times New Roman" w:cs="Times New Roman"/>
                <w:sz w:val="16"/>
                <w:szCs w:val="16"/>
              </w:rPr>
              <w:t xml:space="preserve">      За первое полугодие 2021 </w:t>
            </w:r>
            <w:r w:rsidRPr="00AF455F">
              <w:rPr>
                <w:rFonts w:ascii="Times New Roman" w:hAnsi="Times New Roman" w:cs="Times New Roman"/>
                <w:sz w:val="16"/>
                <w:szCs w:val="16"/>
              </w:rPr>
              <w:t xml:space="preserve">легализовано трудовых отношений с 176 работниками в хозяйствующих субъектах всех организационно - правовых форм собственности.    </w:t>
            </w:r>
            <w:r w:rsidRPr="00AF455F">
              <w:rPr>
                <w:rFonts w:ascii="Times New Roman" w:hAnsi="Times New Roman" w:cs="Times New Roman"/>
                <w:sz w:val="16"/>
                <w:szCs w:val="16"/>
              </w:rPr>
              <w:br/>
              <w:t xml:space="preserve">Организована работа телефона горячей линии (тел. 8 (3463) 46-55-77). По состоянию на 01.07.2021г. сведения о наличии фактов нарушения трудовых прав работников, несвоевременной выплаты заработной платы работодателями не поступали. Фактов наличия коллективных трудовых споров, а также невыплаты заработной платы не зафиксировано. </w:t>
            </w:r>
          </w:p>
        </w:tc>
        <w:tc>
          <w:tcPr>
            <w:tcW w:w="1562" w:type="dxa"/>
            <w:hideMark/>
          </w:tcPr>
          <w:p w:rsidR="00623E4C" w:rsidRPr="00AF455F" w:rsidRDefault="00623E4C" w:rsidP="00623E4C">
            <w:pPr>
              <w:spacing w:after="160"/>
              <w:rPr>
                <w:rFonts w:ascii="Times New Roman" w:hAnsi="Times New Roman" w:cs="Times New Roman"/>
                <w:sz w:val="16"/>
                <w:szCs w:val="16"/>
              </w:rPr>
            </w:pPr>
            <w:r w:rsidRPr="00AF455F">
              <w:rPr>
                <w:rFonts w:ascii="Times New Roman" w:hAnsi="Times New Roman" w:cs="Times New Roman"/>
                <w:sz w:val="16"/>
                <w:szCs w:val="16"/>
              </w:rPr>
              <w:t>Управление по экономике</w:t>
            </w:r>
            <w:r w:rsidRPr="00AF455F">
              <w:rPr>
                <w:rFonts w:ascii="Times New Roman" w:hAnsi="Times New Roman" w:cs="Times New Roman"/>
                <w:sz w:val="16"/>
                <w:szCs w:val="16"/>
              </w:rPr>
              <w:br/>
              <w:t>Отдел по труду и социальным вопросам</w:t>
            </w:r>
          </w:p>
        </w:tc>
      </w:tr>
      <w:tr w:rsidR="00623E4C" w:rsidRPr="00AF455F" w:rsidTr="00816DB4">
        <w:trPr>
          <w:trHeight w:val="939"/>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8.2</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Среднемесячная номинальная начисленная заработная плата работников: муниципальных дошкольных образовательных учреждений</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Рубль</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46 369,7</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48 974,8</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49 960,8</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54 514,6</w:t>
            </w:r>
          </w:p>
        </w:tc>
        <w:tc>
          <w:tcPr>
            <w:tcW w:w="5612" w:type="dxa"/>
            <w:vMerge w:val="restart"/>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В целях исполнения перечня поручений Президента Российской Федерации от 26.02.2019 № ПР-294 (подпункт ж пункта 6) обеспечивается контроль за сохранением достигнутого соотношения между уровнем оплаты труда отдельных категорий работников бюджетной сферы и уровнем средней заработной платы в соответствующем регионе. В соответствии с Указом Президента РФ от 7 мая 2012 года № 597 "О мероприятиях по реализации государственной социальной политики" приняты и реализуются меры по поэтапному достижению целевых ориентиров повышения заработной платы отдельным категориям работников сферы образования. </w:t>
            </w:r>
            <w:r w:rsidRPr="00AF455F">
              <w:rPr>
                <w:rFonts w:ascii="Times New Roman" w:hAnsi="Times New Roman" w:cs="Times New Roman"/>
                <w:sz w:val="16"/>
                <w:szCs w:val="16"/>
              </w:rPr>
              <w:br w:type="page"/>
              <w:t>Показатели достигаются по итогам года. Причина отклонения: начисление отпускных и единовременных выплат к отпуску.</w:t>
            </w:r>
            <w:r w:rsidRPr="00AF455F">
              <w:rPr>
                <w:rFonts w:ascii="Times New Roman" w:hAnsi="Times New Roman" w:cs="Times New Roman"/>
                <w:sz w:val="16"/>
                <w:szCs w:val="16"/>
              </w:rPr>
              <w:br w:type="page"/>
            </w:r>
            <w:r w:rsidRPr="00AF455F">
              <w:rPr>
                <w:rFonts w:ascii="Times New Roman" w:hAnsi="Times New Roman" w:cs="Times New Roman"/>
                <w:sz w:val="16"/>
                <w:szCs w:val="16"/>
              </w:rPr>
              <w:br w:type="page"/>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Управление по образованию </w:t>
            </w:r>
          </w:p>
        </w:tc>
      </w:tr>
      <w:tr w:rsidR="00623E4C" w:rsidRPr="00AF455F" w:rsidTr="00816DB4">
        <w:trPr>
          <w:trHeight w:val="948"/>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8.3</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Среднемесячная номинальная начисленная заработная плата работников: муниципальных общеобразовательных учреждений</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Рубль</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58 481,2</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63 558,9</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63 558,9</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76 466,9</w:t>
            </w:r>
          </w:p>
        </w:tc>
        <w:tc>
          <w:tcPr>
            <w:tcW w:w="5612" w:type="dxa"/>
            <w:vMerge/>
            <w:hideMark/>
          </w:tcPr>
          <w:p w:rsidR="00623E4C" w:rsidRPr="00AF455F" w:rsidRDefault="00623E4C">
            <w:pPr>
              <w:rPr>
                <w:rFonts w:ascii="Times New Roman" w:hAnsi="Times New Roman" w:cs="Times New Roman"/>
                <w:sz w:val="16"/>
                <w:szCs w:val="16"/>
              </w:rPr>
            </w:pP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Управление по образованию </w:t>
            </w:r>
          </w:p>
        </w:tc>
      </w:tr>
      <w:tr w:rsidR="00623E4C" w:rsidRPr="00AF455F" w:rsidTr="00816DB4">
        <w:trPr>
          <w:trHeight w:val="1044"/>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8.4</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Среднемесячная номинальная начисленная заработная плата работников: учителей муниципальных общеобразовательных учреждений</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Рубль</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66 852,0</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70 590,1</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70 988,4</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111 499,0</w:t>
            </w:r>
          </w:p>
        </w:tc>
        <w:tc>
          <w:tcPr>
            <w:tcW w:w="5612" w:type="dxa"/>
            <w:vMerge/>
            <w:hideMark/>
          </w:tcPr>
          <w:p w:rsidR="00623E4C" w:rsidRPr="00AF455F" w:rsidRDefault="00623E4C">
            <w:pPr>
              <w:rPr>
                <w:rFonts w:ascii="Times New Roman" w:hAnsi="Times New Roman" w:cs="Times New Roman"/>
                <w:sz w:val="16"/>
                <w:szCs w:val="16"/>
              </w:rPr>
            </w:pP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Управление по образованию </w:t>
            </w:r>
          </w:p>
        </w:tc>
      </w:tr>
      <w:tr w:rsidR="00623E4C" w:rsidRPr="00AF455F" w:rsidTr="003D25AD">
        <w:trPr>
          <w:trHeight w:val="1987"/>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lastRenderedPageBreak/>
              <w:t>8.5</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Среднемесячная номинальная начисленная заработная плата работников: муниципальных учреждений культуры и искусства</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Рубль</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57 832,3</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60 319,8</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67 330,5</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73 284,7</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В рамках Соглашения от 27.12.2019 № 78 «О сотрудничестве по обеспечению достижения в 2019 году целевых показателей повышения оплаты труда работников муниципальных учреждений культуры» плановое значение показателя средней заработной платы работников учреждений культуры - 67 330,5 руб. На период 2021-2023 годы исполнение показателя планируется на уровне 2020 года.  </w:t>
            </w:r>
            <w:r w:rsidRPr="00AF455F">
              <w:rPr>
                <w:rFonts w:ascii="Times New Roman" w:hAnsi="Times New Roman" w:cs="Times New Roman"/>
                <w:sz w:val="16"/>
                <w:szCs w:val="16"/>
              </w:rPr>
              <w:br/>
              <w:t>Отклонение по итогам первого полугодия 2021 года связано с начислением отпускных и единовременных выплат к отпуску, начисленных работникам учреждения преимущественно во 2 квартале 2021 года. По итогам 2021 года превышение показателя будет устранено.</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Отдел по культуре и искусству</w:t>
            </w:r>
          </w:p>
        </w:tc>
      </w:tr>
      <w:tr w:rsidR="00623E4C" w:rsidRPr="00AF455F" w:rsidTr="00816DB4">
        <w:trPr>
          <w:trHeight w:val="1572"/>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8.6</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Среднемесячная номинальная начисленная заработная плата работников: муниципальных учреждений физической культуры и спорта</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Рубль</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47 392,2</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50 668,9</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50 669,0</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73 654,7</w:t>
            </w:r>
          </w:p>
        </w:tc>
        <w:tc>
          <w:tcPr>
            <w:tcW w:w="5612" w:type="dxa"/>
            <w:hideMark/>
          </w:tcPr>
          <w:p w:rsidR="00623E4C" w:rsidRPr="00AF455F" w:rsidRDefault="00623E4C" w:rsidP="003D25AD">
            <w:pPr>
              <w:rPr>
                <w:rFonts w:ascii="Times New Roman" w:hAnsi="Times New Roman" w:cs="Times New Roman"/>
                <w:sz w:val="16"/>
                <w:szCs w:val="16"/>
              </w:rPr>
            </w:pPr>
            <w:r w:rsidRPr="00AF455F">
              <w:rPr>
                <w:rFonts w:ascii="Times New Roman" w:hAnsi="Times New Roman" w:cs="Times New Roman"/>
                <w:sz w:val="16"/>
                <w:szCs w:val="16"/>
              </w:rPr>
              <w:t>На 2021 год в связи с принятием Положения об установлении системы оплаты труда работников муниципальных учреждений физической культуры и спорта, подведомственных отделу по физической культуре и спорту администрации город Пыть-Яха (постановление администрации города от 26.01.2021 №33-па), планируется дальнейшее увеличение заработной платы до 50 669,0 руб.</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Отдел по физической культуре и спорту</w:t>
            </w:r>
          </w:p>
        </w:tc>
      </w:tr>
      <w:tr w:rsidR="00623E4C" w:rsidRPr="00AF455F" w:rsidTr="00AF455F">
        <w:trPr>
          <w:trHeight w:val="300"/>
        </w:trPr>
        <w:tc>
          <w:tcPr>
            <w:tcW w:w="15538" w:type="dxa"/>
            <w:gridSpan w:val="9"/>
            <w:hideMark/>
          </w:tcPr>
          <w:p w:rsidR="00623E4C" w:rsidRPr="00AF455F" w:rsidRDefault="00623E4C" w:rsidP="003D25AD">
            <w:pPr>
              <w:jc w:val="center"/>
              <w:rPr>
                <w:rFonts w:ascii="Times New Roman" w:hAnsi="Times New Roman" w:cs="Times New Roman"/>
                <w:b/>
                <w:bCs/>
                <w:sz w:val="16"/>
                <w:szCs w:val="16"/>
              </w:rPr>
            </w:pPr>
            <w:r w:rsidRPr="00AF455F">
              <w:rPr>
                <w:rFonts w:ascii="Times New Roman" w:hAnsi="Times New Roman" w:cs="Times New Roman"/>
                <w:b/>
                <w:bCs/>
                <w:sz w:val="16"/>
                <w:szCs w:val="16"/>
              </w:rPr>
              <w:t>Дошкольное образование</w:t>
            </w:r>
          </w:p>
        </w:tc>
      </w:tr>
      <w:tr w:rsidR="00623E4C" w:rsidRPr="00AF455F" w:rsidTr="00816DB4">
        <w:trPr>
          <w:trHeight w:val="300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9</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68,7</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66,8</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67,2</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67,1</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Запланированный показатель на 2021 год по состоянию на 01.07.2021 года не достигнут, уровень достижения показателя к 2020г. - 100,4%; к плану 2021г. - 99,8%.</w:t>
            </w:r>
            <w:r w:rsidRPr="00AF455F">
              <w:rPr>
                <w:rFonts w:ascii="Times New Roman" w:hAnsi="Times New Roman" w:cs="Times New Roman"/>
                <w:sz w:val="16"/>
                <w:szCs w:val="16"/>
              </w:rPr>
              <w:br/>
              <w:t>На 2021 год управлением по образованию запланировано проведение ряда разъяснительных мероприятий по вовлечению детей в ДОО в более раннем возрасте: разработка буклетов и распространение их в детской поликлинике в период с сентября по декабрь 2021 года; приглашение родителей детей в возрасте до 3-х лет на Дни открытых дверей в ДОО в период с октября по ноябрь 2021 года; выступление на ТРК "Пыть-Яхинформ по теме: "После трех уже поздно"; организация и проведение круглого стола с привлечением работников здравоохранения и специалистов ДОО в период с 15.10 по 15.11.2021 года.</w:t>
            </w:r>
            <w:r w:rsidRPr="00AF455F">
              <w:rPr>
                <w:rFonts w:ascii="Times New Roman" w:hAnsi="Times New Roman" w:cs="Times New Roman"/>
                <w:sz w:val="16"/>
                <w:szCs w:val="16"/>
              </w:rPr>
              <w:br/>
              <w:t xml:space="preserve">Запланированные мероприятия начнут реализовываться с нового 2021-2022 учебного года </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Управление по образованию </w:t>
            </w:r>
          </w:p>
        </w:tc>
      </w:tr>
      <w:tr w:rsidR="00623E4C" w:rsidRPr="00AF455F" w:rsidTr="00816DB4">
        <w:trPr>
          <w:trHeight w:val="2928"/>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10*</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13,3</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Запланированный показатель на 2021 год по состоянию на 01.07.2021 года достигнут, уровень достижения показателя к 2020г. - 100%; к плану 2021г. - 100%.</w:t>
            </w:r>
            <w:r w:rsidRPr="00AF455F">
              <w:rPr>
                <w:rFonts w:ascii="Times New Roman" w:hAnsi="Times New Roman" w:cs="Times New Roman"/>
                <w:sz w:val="16"/>
                <w:szCs w:val="16"/>
              </w:rPr>
              <w:br/>
              <w:t>По состоянию на 01.07.2021 года все дети в возрасте 1-6 лет на 100% обеспечены местами в муниципальных дошкольных образовательных учреждениях.</w:t>
            </w:r>
            <w:r w:rsidRPr="00AF455F">
              <w:rPr>
                <w:rFonts w:ascii="Times New Roman" w:hAnsi="Times New Roman" w:cs="Times New Roman"/>
                <w:sz w:val="16"/>
                <w:szCs w:val="16"/>
              </w:rPr>
              <w:br/>
              <w:t>В 2020-2021 учебном году учебном году функционируют- 28 групп в возрасте от 1 – 3 лет: 3 группы в МДОАУ д/с «Золотой ключик», 6 групп МДОАУ црр-д/с «Фантазия», 6 групп в МДОАУ црр-д/с «Аленький цветочек», 4 группы в МДОАУ "Прогимназия "Созвездие", 2 группы в МДОАУ д/с «Белочка», 2 группы в МДОАУ д/с «Родничок», 3 группы в МДОАУ д/с «Солнышко», 2 группы в МАОУ д/с «КСОШ-ДС»</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Управление по образованию </w:t>
            </w:r>
          </w:p>
        </w:tc>
      </w:tr>
      <w:tr w:rsidR="00623E4C" w:rsidRPr="00AF455F" w:rsidTr="00816DB4">
        <w:trPr>
          <w:trHeight w:val="1212"/>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lastRenderedPageBreak/>
              <w:t>11</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5612" w:type="dxa"/>
            <w:hideMark/>
          </w:tcPr>
          <w:p w:rsidR="00623E4C" w:rsidRPr="00AF455F" w:rsidRDefault="00623E4C" w:rsidP="00DA036A">
            <w:pPr>
              <w:rPr>
                <w:rFonts w:ascii="Times New Roman" w:hAnsi="Times New Roman" w:cs="Times New Roman"/>
                <w:sz w:val="16"/>
                <w:szCs w:val="16"/>
              </w:rPr>
            </w:pPr>
            <w:r w:rsidRPr="00AF455F">
              <w:rPr>
                <w:rFonts w:ascii="Times New Roman" w:hAnsi="Times New Roman" w:cs="Times New Roman"/>
                <w:sz w:val="16"/>
                <w:szCs w:val="16"/>
              </w:rPr>
              <w:t>Запланированный показатель на 2021 год по состоянию на 01.07.2021 года достигнут, уровень достижения показателя к 2020г</w:t>
            </w:r>
            <w:r w:rsidR="00DA036A">
              <w:rPr>
                <w:rFonts w:ascii="Times New Roman" w:hAnsi="Times New Roman" w:cs="Times New Roman"/>
                <w:sz w:val="16"/>
                <w:szCs w:val="16"/>
              </w:rPr>
              <w:t>. - 100%; к плану 2021г. - 100%. З</w:t>
            </w:r>
            <w:r w:rsidRPr="00AF455F">
              <w:rPr>
                <w:rFonts w:ascii="Times New Roman" w:hAnsi="Times New Roman" w:cs="Times New Roman"/>
                <w:sz w:val="16"/>
                <w:szCs w:val="16"/>
              </w:rPr>
              <w:t>дания дошкольных образовательных учреждений, находящихся в аварийном состоянии</w:t>
            </w:r>
            <w:r w:rsidR="00180937">
              <w:rPr>
                <w:rFonts w:ascii="Times New Roman" w:hAnsi="Times New Roman" w:cs="Times New Roman"/>
                <w:sz w:val="16"/>
                <w:szCs w:val="16"/>
              </w:rPr>
              <w:t>,</w:t>
            </w:r>
            <w:r w:rsidRPr="00AF455F">
              <w:rPr>
                <w:rFonts w:ascii="Times New Roman" w:hAnsi="Times New Roman" w:cs="Times New Roman"/>
                <w:sz w:val="16"/>
                <w:szCs w:val="16"/>
              </w:rPr>
              <w:t xml:space="preserve"> отсутствуют.</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Управление по образованию </w:t>
            </w:r>
          </w:p>
        </w:tc>
      </w:tr>
      <w:tr w:rsidR="00623E4C" w:rsidRPr="00AF455F" w:rsidTr="00AF455F">
        <w:trPr>
          <w:trHeight w:val="300"/>
        </w:trPr>
        <w:tc>
          <w:tcPr>
            <w:tcW w:w="15538" w:type="dxa"/>
            <w:gridSpan w:val="9"/>
            <w:hideMark/>
          </w:tcPr>
          <w:p w:rsidR="00623E4C" w:rsidRPr="00AF455F" w:rsidRDefault="00623E4C" w:rsidP="00522147">
            <w:pPr>
              <w:jc w:val="center"/>
              <w:rPr>
                <w:rFonts w:ascii="Times New Roman" w:hAnsi="Times New Roman" w:cs="Times New Roman"/>
                <w:b/>
                <w:bCs/>
                <w:sz w:val="16"/>
                <w:szCs w:val="16"/>
              </w:rPr>
            </w:pPr>
            <w:r w:rsidRPr="00AF455F">
              <w:rPr>
                <w:rFonts w:ascii="Times New Roman" w:hAnsi="Times New Roman" w:cs="Times New Roman"/>
                <w:b/>
                <w:bCs/>
                <w:sz w:val="16"/>
                <w:szCs w:val="16"/>
              </w:rPr>
              <w:t>Общее и дополнительное образование</w:t>
            </w:r>
          </w:p>
        </w:tc>
      </w:tr>
      <w:tr w:rsidR="00623E4C" w:rsidRPr="00AF455F" w:rsidTr="00816DB4">
        <w:trPr>
          <w:trHeight w:val="1284"/>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12</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w:t>
            </w:r>
            <w:r w:rsidR="00407920">
              <w:rPr>
                <w:rFonts w:ascii="Times New Roman" w:hAnsi="Times New Roman" w:cs="Times New Roman"/>
                <w:sz w:val="16"/>
                <w:szCs w:val="16"/>
              </w:rPr>
              <w:t>Информация будет предоставлена по итогам 9 месяцев 2021 года.</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Управление по образованию </w:t>
            </w:r>
          </w:p>
        </w:tc>
      </w:tr>
      <w:tr w:rsidR="00623E4C" w:rsidRPr="00AF455F" w:rsidTr="00816DB4">
        <w:trPr>
          <w:trHeight w:val="5784"/>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13*</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92,7</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93,8</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93,8</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95,6</w:t>
            </w:r>
          </w:p>
        </w:tc>
        <w:tc>
          <w:tcPr>
            <w:tcW w:w="5612" w:type="dxa"/>
            <w:hideMark/>
          </w:tcPr>
          <w:p w:rsidR="00623E4C" w:rsidRPr="00AF455F" w:rsidRDefault="00623E4C" w:rsidP="00623E4C">
            <w:pPr>
              <w:spacing w:after="160"/>
              <w:rPr>
                <w:rFonts w:ascii="Times New Roman" w:hAnsi="Times New Roman" w:cs="Times New Roman"/>
                <w:sz w:val="16"/>
                <w:szCs w:val="16"/>
              </w:rPr>
            </w:pPr>
            <w:r w:rsidRPr="00AF455F">
              <w:rPr>
                <w:rFonts w:ascii="Times New Roman" w:hAnsi="Times New Roman" w:cs="Times New Roman"/>
                <w:sz w:val="16"/>
                <w:szCs w:val="16"/>
              </w:rPr>
              <w:t xml:space="preserve">Запланированный показатель на 2021 год по состоянию на 01.07.2021 года достигнут, уровень достижения показателя к 2020г. - 101,9%; к плану 2021г. - 101,9%. </w:t>
            </w:r>
            <w:r w:rsidRPr="00AF455F">
              <w:rPr>
                <w:rFonts w:ascii="Times New Roman" w:hAnsi="Times New Roman" w:cs="Times New Roman"/>
                <w:sz w:val="16"/>
                <w:szCs w:val="16"/>
              </w:rPr>
              <w:br/>
              <w:t>Показатель является комплексным, состоит из 16 показателей расчета, из которых по состоянию на 01.07.2021 года 14 показателей – составляли 100%;  1 показатель «число общеобразовательных учреждений городских поселений и в сельской местности, имеющих пожарные краны и рукава» - 71,4%;  1 показатель – 58,1%: «число общеобразовательных учреждений городских поселений и в сельской местности, в которых созданы условия для беспрепятственного доступа инвалидов».</w:t>
            </w:r>
            <w:r w:rsidRPr="00AF455F">
              <w:rPr>
                <w:rFonts w:ascii="Times New Roman" w:hAnsi="Times New Roman" w:cs="Times New Roman"/>
                <w:sz w:val="16"/>
                <w:szCs w:val="16"/>
              </w:rPr>
              <w:br/>
              <w:t xml:space="preserve">Общий процент  учреждений, соответствующих современным требованиям обучения, в общем количестве муниципальных общеобразовательных учреждений на 01.07.2021. составил 95,6%. </w:t>
            </w:r>
            <w:r w:rsidRPr="00AF455F">
              <w:rPr>
                <w:rFonts w:ascii="Times New Roman" w:hAnsi="Times New Roman" w:cs="Times New Roman"/>
                <w:sz w:val="16"/>
                <w:szCs w:val="16"/>
              </w:rPr>
              <w:br/>
              <w:t>МБОУ СОШ №4 установлен вертикальный подъемник с кнопкой вызова сотрудника организации, МБОУ СОШ№6 имеется пандус для маломобильных групп населения, МАОУ "Прогимназия "Созвездие" организация с универсальной безбарьерной средой. В МБОУ СОШ №1 ведутся работы по ремонту входной группы, при реконструкции которой к 01.09.2021 будет обеспечен доступ в организацию для маломобильных групп населения. В МАОУ "Прогимназия "Созвездие</w:t>
            </w:r>
            <w:r w:rsidR="00522147" w:rsidRPr="00AF455F">
              <w:rPr>
                <w:rFonts w:ascii="Times New Roman" w:hAnsi="Times New Roman" w:cs="Times New Roman"/>
                <w:sz w:val="16"/>
                <w:szCs w:val="16"/>
              </w:rPr>
              <w:t>» созданы</w:t>
            </w:r>
            <w:r w:rsidRPr="00AF455F">
              <w:rPr>
                <w:rFonts w:ascii="Times New Roman" w:hAnsi="Times New Roman" w:cs="Times New Roman"/>
                <w:sz w:val="16"/>
                <w:szCs w:val="16"/>
              </w:rPr>
              <w:t xml:space="preserve"> условия для организации обучения с использованием дистанционных технологий в полном объеме. Расчет комплексного показателя прилагается. В результате проведенных мероприятий показатель «Число учреждений, в которых созданы условия для беспрепятственного доступа инвалидов (ед.)» - достиг значения 58,1 </w:t>
            </w:r>
            <w:r w:rsidR="00522147" w:rsidRPr="00AF455F">
              <w:rPr>
                <w:rFonts w:ascii="Times New Roman" w:hAnsi="Times New Roman" w:cs="Times New Roman"/>
                <w:sz w:val="16"/>
                <w:szCs w:val="16"/>
              </w:rPr>
              <w:t>%; показатель</w:t>
            </w:r>
            <w:r w:rsidRPr="00AF455F">
              <w:rPr>
                <w:rFonts w:ascii="Times New Roman" w:hAnsi="Times New Roman" w:cs="Times New Roman"/>
                <w:sz w:val="16"/>
                <w:szCs w:val="16"/>
              </w:rPr>
              <w:t xml:space="preserve">: «Число учреждений, реализующих образовательные программы с использованием дистанционных технологий (ед.)» достиг </w:t>
            </w:r>
            <w:r w:rsidR="00522147" w:rsidRPr="00AF455F">
              <w:rPr>
                <w:rFonts w:ascii="Times New Roman" w:hAnsi="Times New Roman" w:cs="Times New Roman"/>
                <w:sz w:val="16"/>
                <w:szCs w:val="16"/>
              </w:rPr>
              <w:t>значения –</w:t>
            </w:r>
            <w:r w:rsidRPr="00AF455F">
              <w:rPr>
                <w:rFonts w:ascii="Times New Roman" w:hAnsi="Times New Roman" w:cs="Times New Roman"/>
                <w:sz w:val="16"/>
                <w:szCs w:val="16"/>
              </w:rPr>
              <w:t xml:space="preserve"> 100%. </w:t>
            </w:r>
          </w:p>
        </w:tc>
        <w:tc>
          <w:tcPr>
            <w:tcW w:w="1562" w:type="dxa"/>
            <w:hideMark/>
          </w:tcPr>
          <w:p w:rsidR="00623E4C" w:rsidRPr="00AF455F" w:rsidRDefault="00623E4C" w:rsidP="00623E4C">
            <w:pPr>
              <w:spacing w:after="160"/>
              <w:rPr>
                <w:rFonts w:ascii="Times New Roman" w:hAnsi="Times New Roman" w:cs="Times New Roman"/>
                <w:sz w:val="16"/>
                <w:szCs w:val="16"/>
              </w:rPr>
            </w:pPr>
            <w:r w:rsidRPr="00AF455F">
              <w:rPr>
                <w:rFonts w:ascii="Times New Roman" w:hAnsi="Times New Roman" w:cs="Times New Roman"/>
                <w:sz w:val="16"/>
                <w:szCs w:val="16"/>
              </w:rPr>
              <w:t xml:space="preserve">Управление по образованию </w:t>
            </w:r>
          </w:p>
        </w:tc>
      </w:tr>
      <w:tr w:rsidR="00623E4C" w:rsidRPr="00AF455F" w:rsidTr="00816DB4">
        <w:trPr>
          <w:trHeight w:val="132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lastRenderedPageBreak/>
              <w:t>14</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Запланированный показатель на 2021 год по состоянию на 01.07.2021 года достигнут, уровень достижения показателя к 2020г. - 100%; к плану 2021г. - 100</w:t>
            </w:r>
            <w:proofErr w:type="gramStart"/>
            <w:r w:rsidRPr="00AF455F">
              <w:rPr>
                <w:rFonts w:ascii="Times New Roman" w:hAnsi="Times New Roman" w:cs="Times New Roman"/>
                <w:sz w:val="16"/>
                <w:szCs w:val="16"/>
              </w:rPr>
              <w:t>%.</w:t>
            </w:r>
            <w:r w:rsidRPr="00AF455F">
              <w:rPr>
                <w:rFonts w:ascii="Times New Roman" w:hAnsi="Times New Roman" w:cs="Times New Roman"/>
                <w:sz w:val="16"/>
                <w:szCs w:val="16"/>
              </w:rPr>
              <w:br/>
              <w:t>Здания</w:t>
            </w:r>
            <w:proofErr w:type="gramEnd"/>
            <w:r w:rsidRPr="00AF455F">
              <w:rPr>
                <w:rFonts w:ascii="Times New Roman" w:hAnsi="Times New Roman" w:cs="Times New Roman"/>
                <w:sz w:val="16"/>
                <w:szCs w:val="16"/>
              </w:rPr>
              <w:t xml:space="preserve"> общеобразовательных учреждений, находящихся в аварийном состоянии, отсутствуют.</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Управление по образованию </w:t>
            </w:r>
          </w:p>
        </w:tc>
      </w:tr>
      <w:tr w:rsidR="00623E4C" w:rsidRPr="00AF455F" w:rsidTr="00816DB4">
        <w:trPr>
          <w:trHeight w:val="2616"/>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15</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детей первой и второй групп здоровья в общей численности обучающихся в муниципальных общеобразовательных учреждениях</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92,2</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91,8</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91,9</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Данный показатель не относится к сфере деятельности "Образование" и проводится оценка ведомством "Здравоохранение" по итогам года. Данные на 01.07.2021 отсутствуют. </w:t>
            </w:r>
            <w:r w:rsidRPr="00AF455F">
              <w:rPr>
                <w:rFonts w:ascii="Times New Roman" w:hAnsi="Times New Roman" w:cs="Times New Roman"/>
                <w:sz w:val="16"/>
                <w:szCs w:val="16"/>
              </w:rPr>
              <w:br/>
              <w:t xml:space="preserve">В школах реализуются целевые действующие программы, проекты, комплексные планы по формированию здорового образа жизни и полноценного физического развития обучающихся. </w:t>
            </w:r>
            <w:r w:rsidRPr="00AF455F">
              <w:rPr>
                <w:rFonts w:ascii="Times New Roman" w:hAnsi="Times New Roman" w:cs="Times New Roman"/>
                <w:sz w:val="16"/>
                <w:szCs w:val="16"/>
              </w:rPr>
              <w:br/>
              <w:t xml:space="preserve">На постоянной основе в образовательных учреждениях проводятся санитарно-гигиенические и противоэпидемические мероприятия, мероприятия по физическому воспитанию, лечебно-профилактической работе, витаминизации. Медицинскими работниками на постоянной основе проводится диспансерное наблюдение за обучающимися, имеющими отклонения в состоянии здоровья; ведется работа по пропаганде здорового образа жизни; по обучению гигиеническим навыкам обучающихся, родителей и педагогов. </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Управление по образованию </w:t>
            </w:r>
          </w:p>
        </w:tc>
      </w:tr>
      <w:tr w:rsidR="00623E4C" w:rsidRPr="00AF455F" w:rsidTr="00816DB4">
        <w:trPr>
          <w:trHeight w:val="1608"/>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16*</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23,9</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15,2</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15,2</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15,2</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Запланированный показатель на 2021 год по состоянию на 01.07.2021 года достигнут, уровень достижения показателя к 2020г. - 100,2%; к плану 2021г. - 100</w:t>
            </w:r>
            <w:proofErr w:type="gramStart"/>
            <w:r w:rsidRPr="00AF455F">
              <w:rPr>
                <w:rFonts w:ascii="Times New Roman" w:hAnsi="Times New Roman" w:cs="Times New Roman"/>
                <w:sz w:val="16"/>
                <w:szCs w:val="16"/>
              </w:rPr>
              <w:t>%.</w:t>
            </w:r>
            <w:r w:rsidRPr="00AF455F">
              <w:rPr>
                <w:rFonts w:ascii="Times New Roman" w:hAnsi="Times New Roman" w:cs="Times New Roman"/>
                <w:sz w:val="16"/>
                <w:szCs w:val="16"/>
              </w:rPr>
              <w:br/>
              <w:t>По</w:t>
            </w:r>
            <w:proofErr w:type="gramEnd"/>
            <w:r w:rsidRPr="00AF455F">
              <w:rPr>
                <w:rFonts w:ascii="Times New Roman" w:hAnsi="Times New Roman" w:cs="Times New Roman"/>
                <w:sz w:val="16"/>
                <w:szCs w:val="16"/>
              </w:rPr>
              <w:t xml:space="preserve"> состоянию на 01.07.2021 г. показатель сохранен на уровне 2020 года. В августе-сентябре 2021 года будет осуществлена комплектация классов на 2021-2022 учебный год.</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Управление по образованию </w:t>
            </w:r>
          </w:p>
        </w:tc>
      </w:tr>
      <w:tr w:rsidR="00623E4C" w:rsidRPr="00AF455F" w:rsidTr="00816DB4">
        <w:trPr>
          <w:trHeight w:val="3468"/>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17*</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Тысяча рублей</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151,9</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177,9</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178,1</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145,8</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Запланированный показатель на 2021 год по состоянию на 01.07.2021 года не достигнут, уровень достижения показателя к 2020г. - 82,0%; к плану 2021г. - 81,9%. По состоянию на 01.07.2021 года показатель составил 145,8 тыс. руб., показатель достигается по итогам года.</w:t>
            </w:r>
            <w:r w:rsidRPr="00AF455F">
              <w:rPr>
                <w:rFonts w:ascii="Times New Roman" w:hAnsi="Times New Roman" w:cs="Times New Roman"/>
                <w:sz w:val="16"/>
                <w:szCs w:val="16"/>
              </w:rPr>
              <w:br/>
              <w:t xml:space="preserve">В связи с ежегодным индексированием нормативов обеспечения государственных гарантий реализации прав на получение общедоступного образования на 2021 год запланировано увеличение расходов бюджета муниципального образования на общее образование в расчете на 1 обучающегося в муниципальных общеобразовательных учреждениях. Нормативы обеспечения государственных гарантий реализации прав на </w:t>
            </w:r>
            <w:r w:rsidR="00F861E3" w:rsidRPr="00AF455F">
              <w:rPr>
                <w:rFonts w:ascii="Times New Roman" w:hAnsi="Times New Roman" w:cs="Times New Roman"/>
                <w:sz w:val="16"/>
                <w:szCs w:val="16"/>
              </w:rPr>
              <w:t>получение общедоступного</w:t>
            </w:r>
            <w:r w:rsidRPr="00AF455F">
              <w:rPr>
                <w:rFonts w:ascii="Times New Roman" w:hAnsi="Times New Roman" w:cs="Times New Roman"/>
                <w:sz w:val="16"/>
                <w:szCs w:val="16"/>
              </w:rPr>
              <w:t xml:space="preserve">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установлены Постановлением Правительства ХМАО-Югры от 30.12.2016 г. № 567-п</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Управление по образованию </w:t>
            </w:r>
          </w:p>
        </w:tc>
      </w:tr>
      <w:tr w:rsidR="00623E4C" w:rsidRPr="00AF455F" w:rsidTr="00F861E3">
        <w:trPr>
          <w:trHeight w:val="3688"/>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lastRenderedPageBreak/>
              <w:t>18</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2020 года изменен расчет показателя, согласно методики Росстата от 15.04.2019 №170, в ред. от 06.03.2020.)</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96,4</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75,0</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80,0</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60,5</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Запланированный показатель на 2021 год по состоянию на 01.07.2021 года не достигнут, уровень достижения показателя к 2020г. - 80,7%; к плану 2021г. - 75,6%. </w:t>
            </w:r>
            <w:r w:rsidRPr="00AF455F">
              <w:rPr>
                <w:rFonts w:ascii="Times New Roman" w:hAnsi="Times New Roman" w:cs="Times New Roman"/>
                <w:sz w:val="16"/>
                <w:szCs w:val="16"/>
              </w:rPr>
              <w:br/>
              <w:t xml:space="preserve">Численность детей в возрасте от 5 до 18 лет, охваченных программами дополнительного образования, составляет 4 583 человека (60,5% от общего количества детей данной категории). В данный показатель входят дети, посещающие ЦДТ, ДШИ, а также организации спортивной подготовки. </w:t>
            </w:r>
            <w:r w:rsidRPr="00AF455F">
              <w:rPr>
                <w:rFonts w:ascii="Times New Roman" w:hAnsi="Times New Roman" w:cs="Times New Roman"/>
                <w:sz w:val="16"/>
                <w:szCs w:val="16"/>
              </w:rPr>
              <w:br/>
              <w:t xml:space="preserve">Показатель оценивается по итогам года. </w:t>
            </w:r>
            <w:r w:rsidRPr="00AF455F">
              <w:rPr>
                <w:rFonts w:ascii="Times New Roman" w:hAnsi="Times New Roman" w:cs="Times New Roman"/>
                <w:sz w:val="16"/>
                <w:szCs w:val="16"/>
              </w:rPr>
              <w:br/>
              <w:t xml:space="preserve">На территории города реализуется система получения услуг дополнительного образования на основе персонифицированного финансирования. </w:t>
            </w:r>
            <w:r w:rsidRPr="00AF455F">
              <w:rPr>
                <w:rFonts w:ascii="Times New Roman" w:hAnsi="Times New Roman" w:cs="Times New Roman"/>
                <w:sz w:val="16"/>
                <w:szCs w:val="16"/>
              </w:rPr>
              <w:br/>
              <w:t xml:space="preserve">В систему персонифицированного финансирования дополнительного образования включена 1 организация (МАУДО «ЦДТ»). Просертифицирована </w:t>
            </w:r>
            <w:r w:rsidR="00F861E3" w:rsidRPr="00AF455F">
              <w:rPr>
                <w:rFonts w:ascii="Times New Roman" w:hAnsi="Times New Roman" w:cs="Times New Roman"/>
                <w:sz w:val="16"/>
                <w:szCs w:val="16"/>
              </w:rPr>
              <w:t>115 программ</w:t>
            </w:r>
            <w:r w:rsidRPr="00AF455F">
              <w:rPr>
                <w:rFonts w:ascii="Times New Roman" w:hAnsi="Times New Roman" w:cs="Times New Roman"/>
                <w:sz w:val="16"/>
                <w:szCs w:val="16"/>
              </w:rPr>
              <w:t xml:space="preserve"> дополнительного образования.                           </w:t>
            </w:r>
            <w:r w:rsidRPr="00AF455F">
              <w:rPr>
                <w:rFonts w:ascii="Times New Roman" w:hAnsi="Times New Roman" w:cs="Times New Roman"/>
                <w:sz w:val="16"/>
                <w:szCs w:val="16"/>
              </w:rPr>
              <w:br/>
              <w:t xml:space="preserve">Система обеспечивает свободу выбора образовательной программы и построения образовательной инициативы детей. </w:t>
            </w:r>
            <w:r w:rsidRPr="00AF455F">
              <w:rPr>
                <w:rFonts w:ascii="Times New Roman" w:hAnsi="Times New Roman" w:cs="Times New Roman"/>
                <w:sz w:val="16"/>
                <w:szCs w:val="16"/>
              </w:rPr>
              <w:br/>
              <w:t>На базе общеобразовательных и дошкольных организаций также осуществляется реализация программ дополнительного образования детей.</w:t>
            </w:r>
            <w:r w:rsidRPr="00AF455F">
              <w:rPr>
                <w:rFonts w:ascii="Times New Roman" w:hAnsi="Times New Roman" w:cs="Times New Roman"/>
                <w:sz w:val="16"/>
                <w:szCs w:val="16"/>
              </w:rPr>
              <w:br/>
              <w:t xml:space="preserve">В сфере культуры дополнительное образование предоставляется муниципальным образовательным учреждением дополнительного образования «Детская школа искусств». </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Управление по образованию </w:t>
            </w:r>
          </w:p>
        </w:tc>
      </w:tr>
      <w:tr w:rsidR="00623E4C" w:rsidRPr="00AF455F" w:rsidTr="00AF455F">
        <w:trPr>
          <w:trHeight w:val="276"/>
        </w:trPr>
        <w:tc>
          <w:tcPr>
            <w:tcW w:w="15538" w:type="dxa"/>
            <w:gridSpan w:val="9"/>
            <w:hideMark/>
          </w:tcPr>
          <w:p w:rsidR="00623E4C" w:rsidRPr="00AF455F" w:rsidRDefault="00623E4C" w:rsidP="00F861E3">
            <w:pPr>
              <w:jc w:val="center"/>
              <w:rPr>
                <w:rFonts w:ascii="Times New Roman" w:hAnsi="Times New Roman" w:cs="Times New Roman"/>
                <w:b/>
                <w:bCs/>
                <w:sz w:val="16"/>
                <w:szCs w:val="16"/>
              </w:rPr>
            </w:pPr>
            <w:r w:rsidRPr="00AF455F">
              <w:rPr>
                <w:rFonts w:ascii="Times New Roman" w:hAnsi="Times New Roman" w:cs="Times New Roman"/>
                <w:b/>
                <w:bCs/>
                <w:sz w:val="16"/>
                <w:szCs w:val="16"/>
              </w:rPr>
              <w:t>Культура</w:t>
            </w:r>
          </w:p>
        </w:tc>
      </w:tr>
      <w:tr w:rsidR="00AF455F" w:rsidRPr="00AF455F" w:rsidTr="00AF455F">
        <w:trPr>
          <w:trHeight w:val="552"/>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19</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Уровень фактической обеспеченности учреждениями культуры от нормативной потребности</w:t>
            </w:r>
          </w:p>
        </w:tc>
        <w:tc>
          <w:tcPr>
            <w:tcW w:w="5071" w:type="dxa"/>
            <w:gridSpan w:val="5"/>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5612"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1562" w:type="dxa"/>
            <w:vMerge w:val="restart"/>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Отдел по культуре и искусству</w:t>
            </w:r>
          </w:p>
        </w:tc>
      </w:tr>
      <w:tr w:rsidR="00623E4C" w:rsidRPr="00AF455F" w:rsidTr="00816DB4">
        <w:trPr>
          <w:trHeight w:val="4812"/>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19.1</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Уровень фактической обеспеченности учреждениями культуры от нормативной потребности: клубами и учреждениями клубного типа</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100,0</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100,0</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100,0</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100,0</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Запланированный показатель на 2021 год по состоянию на 01.07.2021 года достигнут, уровень достижения показателя к 2020г. - 100%; к плану 2021г. - 100%. </w:t>
            </w:r>
            <w:r w:rsidRPr="00AF455F">
              <w:rPr>
                <w:rFonts w:ascii="Times New Roman" w:hAnsi="Times New Roman" w:cs="Times New Roman"/>
                <w:sz w:val="16"/>
                <w:szCs w:val="16"/>
              </w:rPr>
              <w:br/>
              <w:t>По состоянию на 01.07.2021 уровень фактической обеспеченности учреждениями культуры от нормативной потребности сохранен и составляет 100% (учреждения клубного типа).</w:t>
            </w:r>
            <w:r w:rsidRPr="00AF455F">
              <w:rPr>
                <w:rFonts w:ascii="Times New Roman" w:hAnsi="Times New Roman" w:cs="Times New Roman"/>
                <w:sz w:val="16"/>
                <w:szCs w:val="16"/>
              </w:rPr>
              <w:br/>
              <w:t xml:space="preserve">В соответствии с распоряжением Минкультуры РФ от 02.08.2017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норматив 1 ед. на 20 тыс. чел. населения, минимальное необходимое количество учреждений клубного типа определяется по следующей формуле: </w:t>
            </w:r>
            <w:r w:rsidRPr="00AF455F">
              <w:rPr>
                <w:rFonts w:ascii="Times New Roman" w:hAnsi="Times New Roman" w:cs="Times New Roman"/>
                <w:sz w:val="16"/>
                <w:szCs w:val="16"/>
              </w:rPr>
              <w:br/>
              <w:t xml:space="preserve">КС=Н / Кн, где </w:t>
            </w:r>
            <w:r w:rsidRPr="00AF455F">
              <w:rPr>
                <w:rFonts w:ascii="Times New Roman" w:hAnsi="Times New Roman" w:cs="Times New Roman"/>
                <w:sz w:val="16"/>
                <w:szCs w:val="16"/>
              </w:rPr>
              <w:br/>
              <w:t xml:space="preserve">КС - сеть учреждений клубного типа; </w:t>
            </w:r>
            <w:r w:rsidRPr="00AF455F">
              <w:rPr>
                <w:rFonts w:ascii="Times New Roman" w:hAnsi="Times New Roman" w:cs="Times New Roman"/>
                <w:sz w:val="16"/>
                <w:szCs w:val="16"/>
              </w:rPr>
              <w:br/>
              <w:t xml:space="preserve">Н - численность населения;   </w:t>
            </w:r>
            <w:r w:rsidRPr="00AF455F">
              <w:rPr>
                <w:rFonts w:ascii="Times New Roman" w:hAnsi="Times New Roman" w:cs="Times New Roman"/>
                <w:sz w:val="16"/>
                <w:szCs w:val="16"/>
              </w:rPr>
              <w:br/>
              <w:t xml:space="preserve">Нн - норматив численности жителей на 1 учреждение клубного типа. </w:t>
            </w:r>
            <w:r w:rsidRPr="00AF455F">
              <w:rPr>
                <w:rFonts w:ascii="Times New Roman" w:hAnsi="Times New Roman" w:cs="Times New Roman"/>
                <w:sz w:val="16"/>
                <w:szCs w:val="16"/>
              </w:rPr>
              <w:br/>
              <w:t>В 2021г.: 39 510/20 000 = 1,98 ед. необходимое количество КДУ для городского округа. В городе 2 городских дома культуры: ГДК "Факел" и ГДК "Россия", что составляет 100% фактической обеспеченности КДУ.</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BF1AD3">
        <w:trPr>
          <w:trHeight w:val="1562"/>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lastRenderedPageBreak/>
              <w:t>19.2</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Уровень фактической обеспеченности учреждениями культуры от нормативной потребности: библиотеками</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xml:space="preserve">    100,0</w:t>
            </w:r>
          </w:p>
        </w:tc>
        <w:tc>
          <w:tcPr>
            <w:tcW w:w="993" w:type="dxa"/>
            <w:noWrap/>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xml:space="preserve">    100,0</w:t>
            </w:r>
          </w:p>
        </w:tc>
        <w:tc>
          <w:tcPr>
            <w:tcW w:w="1134" w:type="dxa"/>
            <w:noWrap/>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xml:space="preserve">    100,0</w:t>
            </w:r>
          </w:p>
        </w:tc>
        <w:tc>
          <w:tcPr>
            <w:tcW w:w="1139" w:type="dxa"/>
            <w:noWrap/>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xml:space="preserve">    100,0</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Запланированный показатель на 2021 год по состоянию на 01.07.2021 года достигнут, уровень достижения показателя к 2020г. - 100,0 %; к плану 2021г. - 100,0%. </w:t>
            </w:r>
            <w:r w:rsidRPr="00AF455F">
              <w:rPr>
                <w:rFonts w:ascii="Times New Roman" w:hAnsi="Times New Roman" w:cs="Times New Roman"/>
                <w:sz w:val="16"/>
                <w:szCs w:val="16"/>
              </w:rPr>
              <w:br/>
              <w:t xml:space="preserve">По состоянию на 01.07.2021г. в городе Пыть-Яхе действовал МАУК "Культурный центр: библиотека - музей" в состав которого входят 1 центральная городская библиотека, 2 филиала (мкр. 2а; мкр.7) и краеведческий экомузей. Уровень фактической обеспеченности библиотеками от нормативной </w:t>
            </w:r>
            <w:r w:rsidR="00BF1AD3" w:rsidRPr="00AF455F">
              <w:rPr>
                <w:rFonts w:ascii="Times New Roman" w:hAnsi="Times New Roman" w:cs="Times New Roman"/>
                <w:sz w:val="16"/>
                <w:szCs w:val="16"/>
              </w:rPr>
              <w:t>потребности -</w:t>
            </w:r>
            <w:r w:rsidRPr="00AF455F">
              <w:rPr>
                <w:rFonts w:ascii="Times New Roman" w:hAnsi="Times New Roman" w:cs="Times New Roman"/>
                <w:sz w:val="16"/>
                <w:szCs w:val="16"/>
              </w:rPr>
              <w:t xml:space="preserve"> 100,0%. </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BF1AD3">
        <w:trPr>
          <w:trHeight w:val="1966"/>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19.3</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Уровень фактической обеспеченности учреждениями культуры от нормативной потребности: парками культуры и отдыха</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На совещании по итогам оценки эффективности деятельности органов местного самоуправления за 2019 год принято решение о проработке вопроса и создании муниципального учреждения "Парк культуры и отдыха" (протокол от 19.08.2020г. №1; от  26.08.2020г. №3).</w:t>
            </w:r>
            <w:r w:rsidRPr="00AF455F">
              <w:rPr>
                <w:rFonts w:ascii="Times New Roman" w:hAnsi="Times New Roman" w:cs="Times New Roman"/>
                <w:sz w:val="16"/>
                <w:szCs w:val="16"/>
              </w:rPr>
              <w:br/>
              <w:t>В соответствии с пунктом 3 протокола совещания по реструктуризации действующей сети муниципальных учреждений от 26.05.2021 №4 принято решение о создании парка культуры и отдыха путем реструктуризации действующей сети муниципальных учреждений МАУ «Горнолыжная база «Северное сияние» в форме присоединения его к МАУК «Культурный центр: библиотека-музей», планируемый срок с 01.11.2021</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BF1AD3">
        <w:trPr>
          <w:trHeight w:val="1258"/>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20</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Запланированный показатель на 2021 год по состоянию на 01.07.2021 года достигнут, уровень достижения показателя к 2020г. - 100%; к плану 2021г. - 100%. </w:t>
            </w:r>
            <w:r w:rsidRPr="00AF455F">
              <w:rPr>
                <w:rFonts w:ascii="Times New Roman" w:hAnsi="Times New Roman" w:cs="Times New Roman"/>
                <w:sz w:val="16"/>
                <w:szCs w:val="16"/>
              </w:rPr>
              <w:br/>
              <w:t>По состоянию на 01.07.2021 года все объекты учреждений культуры находятся в удовлетворительном состоянии, капитального ремонта не требуют</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Отдел по культуре и искусству</w:t>
            </w:r>
          </w:p>
        </w:tc>
      </w:tr>
      <w:tr w:rsidR="00623E4C" w:rsidRPr="00AF455F" w:rsidTr="00816DB4">
        <w:trPr>
          <w:trHeight w:val="1245"/>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21</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993"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4"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9" w:type="dxa"/>
            <w:noWrap/>
            <w:hideMark/>
          </w:tcPr>
          <w:p w:rsidR="00623E4C" w:rsidRPr="00AF455F" w:rsidRDefault="00623E4C" w:rsidP="00EE6D6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На территории муниципального образования городской округ город Пыть-Ях объектов культурного наследия нет</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Отдел по культуре и искусству</w:t>
            </w:r>
          </w:p>
        </w:tc>
      </w:tr>
      <w:tr w:rsidR="00623E4C" w:rsidRPr="00AF455F" w:rsidTr="00AF455F">
        <w:trPr>
          <w:trHeight w:val="300"/>
        </w:trPr>
        <w:tc>
          <w:tcPr>
            <w:tcW w:w="15538" w:type="dxa"/>
            <w:gridSpan w:val="9"/>
            <w:hideMark/>
          </w:tcPr>
          <w:p w:rsidR="00623E4C" w:rsidRPr="00AF455F" w:rsidRDefault="00623E4C" w:rsidP="00730C00">
            <w:pPr>
              <w:jc w:val="center"/>
              <w:rPr>
                <w:rFonts w:ascii="Times New Roman" w:hAnsi="Times New Roman" w:cs="Times New Roman"/>
                <w:b/>
                <w:bCs/>
                <w:sz w:val="16"/>
                <w:szCs w:val="16"/>
              </w:rPr>
            </w:pPr>
            <w:r w:rsidRPr="00AF455F">
              <w:rPr>
                <w:rFonts w:ascii="Times New Roman" w:hAnsi="Times New Roman" w:cs="Times New Roman"/>
                <w:b/>
                <w:bCs/>
                <w:sz w:val="16"/>
                <w:szCs w:val="16"/>
              </w:rPr>
              <w:t>Физическая культура и спорт</w:t>
            </w:r>
          </w:p>
        </w:tc>
      </w:tr>
      <w:tr w:rsidR="00623E4C" w:rsidRPr="00AF455F" w:rsidTr="00BF1AD3">
        <w:trPr>
          <w:trHeight w:val="1262"/>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22*</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населения, систематически занимающегося физической культурой и спортом</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xml:space="preserve">    48,9</w:t>
            </w:r>
          </w:p>
        </w:tc>
        <w:tc>
          <w:tcPr>
            <w:tcW w:w="993" w:type="dxa"/>
            <w:noWrap/>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xml:space="preserve">    49,6</w:t>
            </w:r>
          </w:p>
        </w:tc>
        <w:tc>
          <w:tcPr>
            <w:tcW w:w="1134" w:type="dxa"/>
            <w:noWrap/>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xml:space="preserve">    50,5</w:t>
            </w:r>
          </w:p>
        </w:tc>
        <w:tc>
          <w:tcPr>
            <w:tcW w:w="1139"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Информация </w:t>
            </w:r>
            <w:r w:rsidRPr="00AF455F">
              <w:rPr>
                <w:rFonts w:ascii="Times New Roman" w:hAnsi="Times New Roman" w:cs="Times New Roman"/>
                <w:sz w:val="16"/>
                <w:szCs w:val="16"/>
              </w:rPr>
              <w:br/>
              <w:t>предоставляется по итогам года, после сдачи отчета 1-ФК</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На 01.07.2021 года на территории города проведено 48 спортивно-массовых мероприятий. Спортсмены города Пыть-Ях приняли участие в 45 выездных спортивно-массовых мероприятиях различного уровня: окружные – 28; региональные - 11; всероссийские – 6 </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Отдел по физической культуре и спорту</w:t>
            </w:r>
          </w:p>
        </w:tc>
      </w:tr>
      <w:tr w:rsidR="00623E4C" w:rsidRPr="00AF455F" w:rsidTr="00BF1AD3">
        <w:trPr>
          <w:trHeight w:val="1266"/>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23</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обучающихся, систематически занимающихся физической культурой и спортом, в общей численности обучающихся</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C42358">
            <w:pPr>
              <w:jc w:val="center"/>
              <w:rPr>
                <w:rFonts w:ascii="Times New Roman" w:hAnsi="Times New Roman" w:cs="Times New Roman"/>
                <w:sz w:val="16"/>
                <w:szCs w:val="16"/>
              </w:rPr>
            </w:pPr>
            <w:r w:rsidRPr="00AF455F">
              <w:rPr>
                <w:rFonts w:ascii="Times New Roman" w:hAnsi="Times New Roman" w:cs="Times New Roman"/>
                <w:sz w:val="16"/>
                <w:szCs w:val="16"/>
              </w:rPr>
              <w:t>99,1</w:t>
            </w:r>
          </w:p>
        </w:tc>
        <w:tc>
          <w:tcPr>
            <w:tcW w:w="993" w:type="dxa"/>
            <w:noWrap/>
            <w:hideMark/>
          </w:tcPr>
          <w:p w:rsidR="00623E4C" w:rsidRPr="00AF455F" w:rsidRDefault="00623E4C" w:rsidP="00C42358">
            <w:pPr>
              <w:jc w:val="center"/>
              <w:rPr>
                <w:rFonts w:ascii="Times New Roman" w:hAnsi="Times New Roman" w:cs="Times New Roman"/>
                <w:sz w:val="16"/>
                <w:szCs w:val="16"/>
              </w:rPr>
            </w:pPr>
            <w:r w:rsidRPr="00AF455F">
              <w:rPr>
                <w:rFonts w:ascii="Times New Roman" w:hAnsi="Times New Roman" w:cs="Times New Roman"/>
                <w:sz w:val="16"/>
                <w:szCs w:val="16"/>
              </w:rPr>
              <w:t>94,9</w:t>
            </w:r>
          </w:p>
        </w:tc>
        <w:tc>
          <w:tcPr>
            <w:tcW w:w="1134" w:type="dxa"/>
            <w:noWrap/>
            <w:hideMark/>
          </w:tcPr>
          <w:p w:rsidR="00623E4C" w:rsidRPr="00AF455F" w:rsidRDefault="00623E4C" w:rsidP="00C42358">
            <w:pPr>
              <w:jc w:val="center"/>
              <w:rPr>
                <w:rFonts w:ascii="Times New Roman" w:hAnsi="Times New Roman" w:cs="Times New Roman"/>
                <w:sz w:val="16"/>
                <w:szCs w:val="16"/>
              </w:rPr>
            </w:pPr>
            <w:r w:rsidRPr="00AF455F">
              <w:rPr>
                <w:rFonts w:ascii="Times New Roman" w:hAnsi="Times New Roman" w:cs="Times New Roman"/>
                <w:sz w:val="16"/>
                <w:szCs w:val="16"/>
              </w:rPr>
              <w:t>95,1</w:t>
            </w:r>
          </w:p>
        </w:tc>
        <w:tc>
          <w:tcPr>
            <w:tcW w:w="1139"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Информация </w:t>
            </w:r>
            <w:r w:rsidRPr="00AF455F">
              <w:rPr>
                <w:rFonts w:ascii="Times New Roman" w:hAnsi="Times New Roman" w:cs="Times New Roman"/>
                <w:sz w:val="16"/>
                <w:szCs w:val="16"/>
              </w:rPr>
              <w:br/>
              <w:t>предоставляется по итогам года, после сдачи отчета 1-ФК</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На 01.07.2021 года на территории города проведено 48 спортивно-массовых мероприятий. Спортсмены города Пыть-Ях приняли участие в 45 выездных спортивно-массовых мероприятиях различного уровня: окружные – 28; региональные - 11; всероссийские – 6 </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Отдел по физической культуре и спорту</w:t>
            </w:r>
          </w:p>
        </w:tc>
      </w:tr>
      <w:tr w:rsidR="00623E4C" w:rsidRPr="00AF455F" w:rsidTr="00AF455F">
        <w:trPr>
          <w:trHeight w:val="300"/>
        </w:trPr>
        <w:tc>
          <w:tcPr>
            <w:tcW w:w="15538" w:type="dxa"/>
            <w:gridSpan w:val="9"/>
            <w:hideMark/>
          </w:tcPr>
          <w:p w:rsidR="00623E4C" w:rsidRPr="00AF455F" w:rsidRDefault="00623E4C" w:rsidP="001F18D9">
            <w:pPr>
              <w:jc w:val="center"/>
              <w:rPr>
                <w:rFonts w:ascii="Times New Roman" w:hAnsi="Times New Roman" w:cs="Times New Roman"/>
                <w:b/>
                <w:bCs/>
                <w:sz w:val="16"/>
                <w:szCs w:val="16"/>
              </w:rPr>
            </w:pPr>
            <w:r w:rsidRPr="00AF455F">
              <w:rPr>
                <w:rFonts w:ascii="Times New Roman" w:hAnsi="Times New Roman" w:cs="Times New Roman"/>
                <w:b/>
                <w:bCs/>
                <w:sz w:val="16"/>
                <w:szCs w:val="16"/>
              </w:rPr>
              <w:t>Жилищное строительство и обеспечение граждан жильем</w:t>
            </w:r>
          </w:p>
        </w:tc>
      </w:tr>
      <w:tr w:rsidR="00623E4C" w:rsidRPr="00AF455F" w:rsidTr="00BF1AD3">
        <w:trPr>
          <w:trHeight w:val="1562"/>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lastRenderedPageBreak/>
              <w:t>24*</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Общая площадь жилых помещений, приходящаяся в среднем на одного жителя, - всего</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Квадратный метр</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18,5</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18,7</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19,1</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18,7</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Запланированный показатель на 2021 год по состоянию на 01.07.2021 года не достигнут, уровень достижения показателя к 2020г. - 100,3%; к плану 2021г. - 97,8%. </w:t>
            </w:r>
            <w:r w:rsidRPr="00AF455F">
              <w:rPr>
                <w:rFonts w:ascii="Times New Roman" w:hAnsi="Times New Roman" w:cs="Times New Roman"/>
                <w:sz w:val="16"/>
                <w:szCs w:val="16"/>
              </w:rPr>
              <w:br/>
              <w:t>В 1 полугодии 2021 года введено в эксплуатацию 2 395,0 кв.м жилья: 3 объекта индивидуального жилищного строительства, общей площадью 617,0 кв.м. и 31 садовых домов, общей площадью 1 778,0 кв.м. Годовой план общего объема жилищного строительства (30,5 тыс. кв.м.) выполнен на 7,9%.</w:t>
            </w:r>
          </w:p>
        </w:tc>
        <w:tc>
          <w:tcPr>
            <w:tcW w:w="1562" w:type="dxa"/>
            <w:vMerge w:val="restart"/>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Управление архитектуры и градостроительства</w:t>
            </w:r>
          </w:p>
        </w:tc>
      </w:tr>
      <w:tr w:rsidR="00623E4C" w:rsidRPr="00AF455F" w:rsidTr="00BF1AD3">
        <w:trPr>
          <w:trHeight w:val="832"/>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24.1*</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В том числе введено общей площади жилых помещений, приходящаяся в среднем на одного жителя за один год</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Квадратный метр</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1,1</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0,4</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0,8</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0,1</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BF1AD3">
        <w:trPr>
          <w:trHeight w:val="453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25*</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Площадь земельных участков, предоставленных для строительства в расчете на 10 тыс. человек населения, - всего</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Гектар</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6,9</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4,2</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2,5</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0,9</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Запланированный показатель на 2021 год по состоянию на 01.07.2021 года не достигнут, уровень достижения показателя к 2020г. - 21,6%; к плану 2021г. - 36,0%. Предоставление земельных участков носит заявительный характер.</w:t>
            </w:r>
            <w:r w:rsidRPr="00AF455F">
              <w:rPr>
                <w:rFonts w:ascii="Times New Roman" w:hAnsi="Times New Roman" w:cs="Times New Roman"/>
                <w:sz w:val="16"/>
                <w:szCs w:val="16"/>
              </w:rPr>
              <w:br/>
              <w:t>Изменение показателя в большую или меньшую сторону зависит от количества обращений недропользователей ПАО «НК «Роснефть», АО «СибурТюменьГаз» и других заявителей за предоставлением земельных участков под строительство без проведения торгов, а также от результатов аукционов (состоявшихся или несостоявшихся), проведенных органом местного самоуправления. Ежегодно утверждаемым планом-графиком проведения аукционов на право заключения договоров аренды земельных участков, планируется предоставление земельных участков для строительства, в том числе для жилищного строительства, индивидуального жилищного строительства.</w:t>
            </w:r>
            <w:r w:rsidRPr="00AF455F">
              <w:rPr>
                <w:rFonts w:ascii="Times New Roman" w:hAnsi="Times New Roman" w:cs="Times New Roman"/>
                <w:sz w:val="16"/>
                <w:szCs w:val="16"/>
              </w:rPr>
              <w:br/>
              <w:t>Показатели определяются по результатам проведенных аукционов.</w:t>
            </w:r>
            <w:r w:rsidRPr="00AF455F">
              <w:rPr>
                <w:rFonts w:ascii="Times New Roman" w:hAnsi="Times New Roman" w:cs="Times New Roman"/>
                <w:sz w:val="16"/>
                <w:szCs w:val="16"/>
              </w:rPr>
              <w:br/>
              <w:t xml:space="preserve">Площадь земельных участков, предоставленных для строительства в расчете на 10 тыс. человек населения, по итогам 1 полугодия 2021г. составила 0,9 гектара. Всего за первое полугодие было предоставлено 20 земельных участков под строительство на общую площадь 3,62 га.  В том </w:t>
            </w:r>
            <w:proofErr w:type="gramStart"/>
            <w:r w:rsidRPr="00AF455F">
              <w:rPr>
                <w:rFonts w:ascii="Times New Roman" w:hAnsi="Times New Roman" w:cs="Times New Roman"/>
                <w:sz w:val="16"/>
                <w:szCs w:val="16"/>
              </w:rPr>
              <w:t>числе,  по</w:t>
            </w:r>
            <w:proofErr w:type="gramEnd"/>
            <w:r w:rsidRPr="00AF455F">
              <w:rPr>
                <w:rFonts w:ascii="Times New Roman" w:hAnsi="Times New Roman" w:cs="Times New Roman"/>
                <w:sz w:val="16"/>
                <w:szCs w:val="16"/>
              </w:rPr>
              <w:t xml:space="preserve"> заявлениям заинтересованных лиц без торгов предоставлено 4 земельных участков под строительство и для завершения строительства, на общую площадь 2.23 га. Льготным категориям граждан (в т. ч. многодетным) для индивидуального жилищного строительства предоставлено 16 земельных </w:t>
            </w:r>
            <w:r w:rsidR="00BF1AD3" w:rsidRPr="00AF455F">
              <w:rPr>
                <w:rFonts w:ascii="Times New Roman" w:hAnsi="Times New Roman" w:cs="Times New Roman"/>
                <w:sz w:val="16"/>
                <w:szCs w:val="16"/>
              </w:rPr>
              <w:t>участков, площадью</w:t>
            </w:r>
            <w:r w:rsidRPr="00AF455F">
              <w:rPr>
                <w:rFonts w:ascii="Times New Roman" w:hAnsi="Times New Roman" w:cs="Times New Roman"/>
                <w:sz w:val="16"/>
                <w:szCs w:val="16"/>
              </w:rPr>
              <w:t xml:space="preserve"> 1,39 га. Аукционы в первом полугодии 2021 г. не проводились. </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Управление архитектуры и градостроительства</w:t>
            </w:r>
          </w:p>
        </w:tc>
      </w:tr>
      <w:tr w:rsidR="00623E4C" w:rsidRPr="00AF455F" w:rsidTr="00816DB4">
        <w:trPr>
          <w:trHeight w:val="174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25.1.1*</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Площадь земельных участков, предоставленных для жилищного строительства, индивидуального жилищного строительства в расчете на 10 тыс. человек населения</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Гектар</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0,2</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0,2</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0,1</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0,4</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Управление архитектуры и градостроительства</w:t>
            </w:r>
          </w:p>
        </w:tc>
      </w:tr>
      <w:tr w:rsidR="00623E4C" w:rsidRPr="00AF455F" w:rsidTr="00BF1AD3">
        <w:trPr>
          <w:trHeight w:val="1562"/>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25.3</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Площадь земельных участков, предоставленных для строительства, всего</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Гектар</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27,3</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16,7</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10,0</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3,6</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Всего за первое полугодие было предоставлено 20 земельных участков под строительство на общую площадь 3,62 га (в том </w:t>
            </w:r>
            <w:proofErr w:type="gramStart"/>
            <w:r w:rsidRPr="00AF455F">
              <w:rPr>
                <w:rFonts w:ascii="Times New Roman" w:hAnsi="Times New Roman" w:cs="Times New Roman"/>
                <w:sz w:val="16"/>
                <w:szCs w:val="16"/>
              </w:rPr>
              <w:t>числе,  по</w:t>
            </w:r>
            <w:proofErr w:type="gramEnd"/>
            <w:r w:rsidRPr="00AF455F">
              <w:rPr>
                <w:rFonts w:ascii="Times New Roman" w:hAnsi="Times New Roman" w:cs="Times New Roman"/>
                <w:sz w:val="16"/>
                <w:szCs w:val="16"/>
              </w:rPr>
              <w:t xml:space="preserve"> заявлениям заинтересованных лиц без торгов предоставлено 4 земельных участков под строительство и для завершения строительства, на общую площадь 2.23 га. Льготным категориям граждан (в т. ч. многодетным) для индивидуального жилищного строительства предоставлено 16 земельных </w:t>
            </w:r>
            <w:proofErr w:type="gramStart"/>
            <w:r w:rsidRPr="00AF455F">
              <w:rPr>
                <w:rFonts w:ascii="Times New Roman" w:hAnsi="Times New Roman" w:cs="Times New Roman"/>
                <w:sz w:val="16"/>
                <w:szCs w:val="16"/>
              </w:rPr>
              <w:t>участков,  площадью</w:t>
            </w:r>
            <w:proofErr w:type="gramEnd"/>
            <w:r w:rsidRPr="00AF455F">
              <w:rPr>
                <w:rFonts w:ascii="Times New Roman" w:hAnsi="Times New Roman" w:cs="Times New Roman"/>
                <w:sz w:val="16"/>
                <w:szCs w:val="16"/>
              </w:rPr>
              <w:t xml:space="preserve"> 1,39 га. )</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w:t>
            </w:r>
          </w:p>
        </w:tc>
      </w:tr>
      <w:tr w:rsidR="00AF455F" w:rsidRPr="00AF455F" w:rsidTr="00AF455F">
        <w:trPr>
          <w:trHeight w:val="252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lastRenderedPageBreak/>
              <w:t>26*</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 иных объектов капитального строительства - в течение 5 лет</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Неизвестные данные</w:t>
            </w:r>
          </w:p>
        </w:tc>
        <w:tc>
          <w:tcPr>
            <w:tcW w:w="4258" w:type="dxa"/>
            <w:gridSpan w:val="4"/>
            <w:noWrap/>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5612" w:type="dxa"/>
            <w:noWrap/>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Управление архитектуры и градостроительства</w:t>
            </w:r>
          </w:p>
        </w:tc>
      </w:tr>
      <w:tr w:rsidR="00623E4C" w:rsidRPr="00AF455F" w:rsidTr="00816DB4">
        <w:trPr>
          <w:trHeight w:val="1992"/>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26.1*</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Квадратный метр</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5612" w:type="dxa"/>
            <w:hideMark/>
          </w:tcPr>
          <w:p w:rsidR="00623E4C" w:rsidRPr="00AF455F" w:rsidRDefault="000D4741">
            <w:pPr>
              <w:rPr>
                <w:rFonts w:ascii="Times New Roman" w:hAnsi="Times New Roman" w:cs="Times New Roman"/>
                <w:sz w:val="16"/>
                <w:szCs w:val="16"/>
              </w:rPr>
            </w:pPr>
            <w:r w:rsidRPr="00AF455F">
              <w:rPr>
                <w:rFonts w:ascii="Times New Roman" w:hAnsi="Times New Roman" w:cs="Times New Roman"/>
                <w:sz w:val="16"/>
                <w:szCs w:val="16"/>
              </w:rPr>
              <w:t>В связи</w:t>
            </w:r>
            <w:r w:rsidR="00623E4C" w:rsidRPr="00AF455F">
              <w:rPr>
                <w:rFonts w:ascii="Times New Roman" w:hAnsi="Times New Roman" w:cs="Times New Roman"/>
                <w:sz w:val="16"/>
                <w:szCs w:val="16"/>
              </w:rPr>
              <w:t xml:space="preserve"> с интенсивным жилищным строительством на территории города, показатель за 2019 -2020 годы остается стабильно положительным. </w:t>
            </w:r>
            <w:r w:rsidRPr="00AF455F">
              <w:rPr>
                <w:rFonts w:ascii="Times New Roman" w:hAnsi="Times New Roman" w:cs="Times New Roman"/>
                <w:sz w:val="16"/>
                <w:szCs w:val="16"/>
              </w:rPr>
              <w:t>На 2021</w:t>
            </w:r>
            <w:r w:rsidR="00623E4C" w:rsidRPr="00AF455F">
              <w:rPr>
                <w:rFonts w:ascii="Times New Roman" w:hAnsi="Times New Roman" w:cs="Times New Roman"/>
                <w:sz w:val="16"/>
                <w:szCs w:val="16"/>
              </w:rPr>
              <w:t xml:space="preserve"> год срок завершения строительства с момента предоставления земельного участка для этих целей, также не будет превышать 3-х лет</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Управление архитектуры и градостроительства</w:t>
            </w:r>
          </w:p>
        </w:tc>
      </w:tr>
      <w:tr w:rsidR="00623E4C" w:rsidRPr="00AF455F" w:rsidTr="00816DB4">
        <w:trPr>
          <w:trHeight w:val="2088"/>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26.2*</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лет</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Квадратный метр</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96 258,0</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0,0</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0,0</w:t>
            </w:r>
            <w:bookmarkStart w:id="0" w:name="_GoBack"/>
            <w:bookmarkEnd w:id="0"/>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0,0</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Управление архитектуры и градостроительства</w:t>
            </w:r>
            <w:r w:rsidRPr="00AF455F">
              <w:rPr>
                <w:rFonts w:ascii="Times New Roman" w:hAnsi="Times New Roman" w:cs="Times New Roman"/>
                <w:sz w:val="16"/>
                <w:szCs w:val="16"/>
              </w:rPr>
              <w:br/>
              <w:t>Управление по муниципальному имуществу</w:t>
            </w:r>
          </w:p>
        </w:tc>
      </w:tr>
      <w:tr w:rsidR="00623E4C" w:rsidRPr="00AF455F" w:rsidTr="00AF455F">
        <w:trPr>
          <w:trHeight w:val="300"/>
        </w:trPr>
        <w:tc>
          <w:tcPr>
            <w:tcW w:w="15538" w:type="dxa"/>
            <w:gridSpan w:val="9"/>
            <w:hideMark/>
          </w:tcPr>
          <w:p w:rsidR="00623E4C" w:rsidRPr="00AF455F" w:rsidRDefault="00623E4C" w:rsidP="008E16DD">
            <w:pPr>
              <w:jc w:val="center"/>
              <w:rPr>
                <w:rFonts w:ascii="Times New Roman" w:hAnsi="Times New Roman" w:cs="Times New Roman"/>
                <w:b/>
                <w:bCs/>
                <w:sz w:val="16"/>
                <w:szCs w:val="16"/>
              </w:rPr>
            </w:pPr>
            <w:r w:rsidRPr="00AF455F">
              <w:rPr>
                <w:rFonts w:ascii="Times New Roman" w:hAnsi="Times New Roman" w:cs="Times New Roman"/>
                <w:b/>
                <w:bCs/>
                <w:sz w:val="16"/>
                <w:szCs w:val="16"/>
              </w:rPr>
              <w:t>Жилищно-коммунальное хозяйство</w:t>
            </w:r>
          </w:p>
        </w:tc>
      </w:tr>
      <w:tr w:rsidR="00623E4C" w:rsidRPr="00AF455F" w:rsidTr="00816DB4">
        <w:trPr>
          <w:trHeight w:val="1656"/>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27</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100,0</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100,0</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100,0</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100,0</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Запланированный показатель на 2021 год по состоянию на 01.07.2021 года достигнут, уровень достижения показателя к 2020г. - 100%; к плану 2021г. - 100%.  По состоянию на 01.07.2021 все собственники помещений в МКД выбрали и реализуют один из способов управления многоквартирными домами. </w:t>
            </w:r>
          </w:p>
        </w:tc>
        <w:tc>
          <w:tcPr>
            <w:tcW w:w="1562" w:type="dxa"/>
            <w:vMerge w:val="restart"/>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Управление по жилищно-коммунальному комплексу, транспорту и дорогам</w:t>
            </w:r>
          </w:p>
        </w:tc>
      </w:tr>
      <w:tr w:rsidR="00623E4C" w:rsidRPr="00AF455F" w:rsidTr="00816DB4">
        <w:trPr>
          <w:trHeight w:val="150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lastRenderedPageBreak/>
              <w:t> </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многоквартирных домов, в которых собственники помещений выбрали и реализуют один из способов управления многоквартирными домами: непосредственное управление собственниками помещений в многоквартирном доме</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33,5</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33,9</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33,6</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816DB4">
        <w:trPr>
          <w:trHeight w:val="180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27.3</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многоквартирных домов, в которых собственники помещений выбрали и реализуют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51,5</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20,7</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20,4</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20,8</w:t>
            </w:r>
          </w:p>
        </w:tc>
        <w:tc>
          <w:tcPr>
            <w:tcW w:w="5612"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816DB4">
        <w:trPr>
          <w:trHeight w:val="150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27.5</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многоквартирных домов, в которых собственники помещений выбрали и реализуют один из способов управления многоквартирными домами: управление муниципальным или государственным учреждением либо предприятием</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5612"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816DB4">
        <w:trPr>
          <w:trHeight w:val="150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27.7</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многоквартирных домов, в которых собственники помещений выбрали и реализуют один из способов управления многоквартирными домами: управление управляющей организацией частной формы собственности</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48,5</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45,7</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45,7</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45,6</w:t>
            </w:r>
          </w:p>
        </w:tc>
        <w:tc>
          <w:tcPr>
            <w:tcW w:w="5612"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816DB4">
        <w:trPr>
          <w:trHeight w:val="210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27.9</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многоквартирных домов, в которых собственники помещений выбрали и реализуют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48,8</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100,0</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100,0</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100,0</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По состоянию на 01.07.2021 года показатель сохранен на уровне 2020 года.</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816DB4">
        <w:trPr>
          <w:trHeight w:val="120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27.11</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Общее число многоквартирных домов в городском округе (муниципальном районе), собственники помещений в которых должны выбирать способ управления данными домами</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Единица</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369</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352</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339</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351</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За первое полугодие 2021 года снесен 1 МКД (мкр.3 д. 72, жилая площадь 896,6 кв.м.)</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816DB4">
        <w:trPr>
          <w:trHeight w:val="366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lastRenderedPageBreak/>
              <w:t>28</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83,3</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83,3</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83,3</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83,3</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По состоянию на 01.07.2021 года показатель сохранен на уровне 2020 года.</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Управление по жилищно-коммунальному комплексу, транспорту и дорогам</w:t>
            </w:r>
          </w:p>
        </w:tc>
      </w:tr>
      <w:tr w:rsidR="00623E4C" w:rsidRPr="00AF455F" w:rsidTr="00816DB4">
        <w:trPr>
          <w:trHeight w:val="2904"/>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xml:space="preserve">29 </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 Доля многоквартирных домов, расположенных на земельных участках, в отношении которых осуществлен государственный кадастровый учет </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xml:space="preserve"> Процент </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89,26</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90,91</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91,74</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90,88</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Запланированный показатель на 2021 год по состоянию на 01.07.2021 года не достигнут, уровень достижения показателя к 2020г. - 100%; к плану 2021г. - 99,1%. </w:t>
            </w:r>
            <w:r w:rsidRPr="00AF455F">
              <w:rPr>
                <w:rFonts w:ascii="Times New Roman" w:hAnsi="Times New Roman" w:cs="Times New Roman"/>
                <w:sz w:val="16"/>
                <w:szCs w:val="16"/>
              </w:rPr>
              <w:br/>
              <w:t>По состоянию на 01.07.2021 года доля многоквартирных домов, расположенных на земельных участках, в отношении которых осуществлен государственный кадастровый учет, составила 90,88%.</w:t>
            </w:r>
            <w:r w:rsidRPr="00AF455F">
              <w:rPr>
                <w:rFonts w:ascii="Times New Roman" w:hAnsi="Times New Roman" w:cs="Times New Roman"/>
                <w:sz w:val="16"/>
                <w:szCs w:val="16"/>
              </w:rPr>
              <w:br/>
              <w:t>В 2021 году  снесен 1 МКД, стоящий на кадастровом учете, ввод в эксплуатацию МКД не осуществлялся.</w:t>
            </w:r>
            <w:r w:rsidRPr="00AF455F">
              <w:rPr>
                <w:rFonts w:ascii="Times New Roman" w:hAnsi="Times New Roman" w:cs="Times New Roman"/>
                <w:sz w:val="16"/>
                <w:szCs w:val="16"/>
              </w:rPr>
              <w:br/>
              <w:t>Расчет показателя: 319/351*100=90,9%,  где</w:t>
            </w:r>
            <w:r w:rsidRPr="00AF455F">
              <w:rPr>
                <w:rFonts w:ascii="Times New Roman" w:hAnsi="Times New Roman" w:cs="Times New Roman"/>
                <w:sz w:val="16"/>
                <w:szCs w:val="16"/>
              </w:rPr>
              <w:br/>
              <w:t>319 - число многоквартирных домов, расположенных на земельных участках, в отношении которых осуществлен государственный кадастровый учет;</w:t>
            </w:r>
            <w:r w:rsidRPr="00AF455F">
              <w:rPr>
                <w:rFonts w:ascii="Times New Roman" w:hAnsi="Times New Roman" w:cs="Times New Roman"/>
                <w:sz w:val="16"/>
                <w:szCs w:val="16"/>
              </w:rPr>
              <w:br/>
              <w:t>351- общее количество многоквартирных домов</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 Управление по муниципальному имуществу </w:t>
            </w:r>
          </w:p>
        </w:tc>
      </w:tr>
      <w:tr w:rsidR="00623E4C" w:rsidRPr="00AF455F" w:rsidTr="00126C0B">
        <w:trPr>
          <w:trHeight w:val="4964"/>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lastRenderedPageBreak/>
              <w:t>30*</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39,7</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42,0</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12,0</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5,0</w:t>
            </w:r>
          </w:p>
        </w:tc>
        <w:tc>
          <w:tcPr>
            <w:tcW w:w="5612" w:type="dxa"/>
            <w:hideMark/>
          </w:tcPr>
          <w:p w:rsidR="00623E4C" w:rsidRPr="00AF455F" w:rsidRDefault="00623E4C" w:rsidP="00126C0B">
            <w:pPr>
              <w:spacing w:after="160"/>
              <w:rPr>
                <w:rFonts w:ascii="Times New Roman" w:hAnsi="Times New Roman" w:cs="Times New Roman"/>
                <w:sz w:val="16"/>
                <w:szCs w:val="16"/>
              </w:rPr>
            </w:pPr>
            <w:r w:rsidRPr="00AF455F">
              <w:rPr>
                <w:rFonts w:ascii="Times New Roman" w:hAnsi="Times New Roman" w:cs="Times New Roman"/>
                <w:sz w:val="16"/>
                <w:szCs w:val="16"/>
              </w:rPr>
              <w:t xml:space="preserve">Запланированный показатель на 2021 год по состоянию на 01.07.2021 года не достигнут, уровень достижения показателя к 2020г. - 11,9%; к плану 2021г. - 41,7%. </w:t>
            </w:r>
            <w:r w:rsidRPr="00AF455F">
              <w:rPr>
                <w:rFonts w:ascii="Times New Roman" w:hAnsi="Times New Roman" w:cs="Times New Roman"/>
                <w:sz w:val="16"/>
                <w:szCs w:val="16"/>
              </w:rPr>
              <w:br/>
              <w:t>Улучшение жилищных условий граждан  осуществляется согласно программным мероприятиям и действующему законодательству Российской Федерации, ХМАО - Югры, в связи с чем по показателям отражены участники муниципальной программы «Развитие жилищной сферы в городе Пыть-Ях».   Показатели рассчитаны с учетом доведенных плановых объёмов финансирования программных мероприятий. В 2021 году улучшат жилищные условия – 103 семьи из 860 семей, состоящих в списке очередности. Показатель достигается по итогам года.</w:t>
            </w:r>
            <w:r w:rsidRPr="00AF455F">
              <w:rPr>
                <w:rFonts w:ascii="Times New Roman" w:hAnsi="Times New Roman" w:cs="Times New Roman"/>
                <w:sz w:val="16"/>
                <w:szCs w:val="16"/>
              </w:rPr>
              <w:b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по состоянию на 01.07.2021 года составила 5,0%. </w:t>
            </w:r>
            <w:r w:rsidRPr="00AF455F">
              <w:rPr>
                <w:rFonts w:ascii="Times New Roman" w:hAnsi="Times New Roman" w:cs="Times New Roman"/>
                <w:sz w:val="16"/>
                <w:szCs w:val="16"/>
              </w:rPr>
              <w:br/>
              <w:t>Улучшили жилищные условия 43 семьи, из 860 семей, состоящих в списке очередности (43/8604*100=5,0%):</w:t>
            </w:r>
            <w:r w:rsidRPr="00AF455F">
              <w:rPr>
                <w:rFonts w:ascii="Times New Roman" w:hAnsi="Times New Roman" w:cs="Times New Roman"/>
                <w:sz w:val="16"/>
                <w:szCs w:val="16"/>
              </w:rPr>
              <w:br/>
              <w:t>- приобретение жилья для переселения граждан из аварийного жилищного фонда, на обеспечение жильем граждан, состоящих на учете для его получения на условиях социального найма, формирование маневренного жилищного фонда -5 семей;</w:t>
            </w:r>
            <w:r w:rsidRPr="00AF455F">
              <w:rPr>
                <w:rFonts w:ascii="Times New Roman" w:hAnsi="Times New Roman" w:cs="Times New Roman"/>
                <w:sz w:val="16"/>
                <w:szCs w:val="16"/>
              </w:rPr>
              <w:br/>
              <w:t>- предоставление жилых помещений состоящим на учете  - 1 семья;</w:t>
            </w:r>
            <w:r w:rsidRPr="00AF455F">
              <w:rPr>
                <w:rFonts w:ascii="Times New Roman" w:hAnsi="Times New Roman" w:cs="Times New Roman"/>
                <w:sz w:val="16"/>
                <w:szCs w:val="16"/>
              </w:rPr>
              <w:br/>
              <w:t>- предоставление жилых помещений с правом выкупа "Ликвидация и расселение приспособленных для проживания строений - 18 семей;</w:t>
            </w:r>
            <w:r w:rsidRPr="00AF455F">
              <w:rPr>
                <w:rFonts w:ascii="Times New Roman" w:hAnsi="Times New Roman" w:cs="Times New Roman"/>
                <w:sz w:val="16"/>
                <w:szCs w:val="16"/>
              </w:rPr>
              <w:br/>
              <w:t xml:space="preserve"> - молодые семьи - 12 семей;</w:t>
            </w:r>
            <w:r w:rsidRPr="00AF455F">
              <w:rPr>
                <w:rFonts w:ascii="Times New Roman" w:hAnsi="Times New Roman" w:cs="Times New Roman"/>
                <w:sz w:val="16"/>
                <w:szCs w:val="16"/>
              </w:rPr>
              <w:br/>
              <w:t>- предоставление субсидий отдельным категориям граждан - 5 семей;</w:t>
            </w:r>
            <w:r w:rsidRPr="00AF455F">
              <w:rPr>
                <w:rFonts w:ascii="Times New Roman" w:hAnsi="Times New Roman" w:cs="Times New Roman"/>
                <w:sz w:val="16"/>
                <w:szCs w:val="16"/>
              </w:rPr>
              <w:br/>
              <w:t>- предоставление земельного участка - 2- семьи.</w:t>
            </w:r>
          </w:p>
        </w:tc>
        <w:tc>
          <w:tcPr>
            <w:tcW w:w="1562" w:type="dxa"/>
            <w:hideMark/>
          </w:tcPr>
          <w:p w:rsidR="00623E4C" w:rsidRPr="00AF455F" w:rsidRDefault="00623E4C" w:rsidP="00623E4C">
            <w:pPr>
              <w:spacing w:after="160"/>
              <w:rPr>
                <w:rFonts w:ascii="Times New Roman" w:hAnsi="Times New Roman" w:cs="Times New Roman"/>
                <w:sz w:val="16"/>
                <w:szCs w:val="16"/>
              </w:rPr>
            </w:pPr>
            <w:r w:rsidRPr="00AF455F">
              <w:rPr>
                <w:rFonts w:ascii="Times New Roman" w:hAnsi="Times New Roman" w:cs="Times New Roman"/>
                <w:sz w:val="16"/>
                <w:szCs w:val="16"/>
              </w:rPr>
              <w:t>Управление по жилищным вопросам</w:t>
            </w:r>
          </w:p>
        </w:tc>
      </w:tr>
      <w:tr w:rsidR="00623E4C" w:rsidRPr="00AF455F" w:rsidTr="00126C0B">
        <w:trPr>
          <w:trHeight w:val="246"/>
        </w:trPr>
        <w:tc>
          <w:tcPr>
            <w:tcW w:w="15538" w:type="dxa"/>
            <w:gridSpan w:val="9"/>
            <w:hideMark/>
          </w:tcPr>
          <w:p w:rsidR="00623E4C" w:rsidRPr="00AF455F" w:rsidRDefault="00623E4C" w:rsidP="000D4741">
            <w:pPr>
              <w:jc w:val="center"/>
              <w:rPr>
                <w:rFonts w:ascii="Times New Roman" w:hAnsi="Times New Roman" w:cs="Times New Roman"/>
                <w:b/>
                <w:bCs/>
                <w:sz w:val="16"/>
                <w:szCs w:val="16"/>
              </w:rPr>
            </w:pPr>
            <w:r w:rsidRPr="00AF455F">
              <w:rPr>
                <w:rFonts w:ascii="Times New Roman" w:hAnsi="Times New Roman" w:cs="Times New Roman"/>
                <w:b/>
                <w:bCs/>
                <w:sz w:val="16"/>
                <w:szCs w:val="16"/>
              </w:rPr>
              <w:t>Организация муниципального управления</w:t>
            </w:r>
          </w:p>
        </w:tc>
      </w:tr>
      <w:tr w:rsidR="00623E4C" w:rsidRPr="00AF455F" w:rsidTr="00816DB4">
        <w:trPr>
          <w:trHeight w:val="3264"/>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31*</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69,7</w:t>
            </w:r>
          </w:p>
        </w:tc>
        <w:tc>
          <w:tcPr>
            <w:tcW w:w="993" w:type="dxa"/>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37,8</w:t>
            </w:r>
          </w:p>
        </w:tc>
        <w:tc>
          <w:tcPr>
            <w:tcW w:w="1134" w:type="dxa"/>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48,0</w:t>
            </w:r>
          </w:p>
        </w:tc>
        <w:tc>
          <w:tcPr>
            <w:tcW w:w="1139" w:type="dxa"/>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61,2</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Запланированный показатель на 2021 год по состоянию на 01.07.2021 года достигнут, уровень достижения показателя к 2020г. - 162,0%; к плану 2021г. - 127,4%. Показатель оценивается по итогам года. </w:t>
            </w:r>
            <w:r w:rsidRPr="00AF455F">
              <w:rPr>
                <w:rFonts w:ascii="Times New Roman" w:hAnsi="Times New Roman" w:cs="Times New Roman"/>
                <w:sz w:val="16"/>
                <w:szCs w:val="16"/>
              </w:rPr>
              <w:br/>
              <w:t xml:space="preserve">План мероприятий по росту доходов на 2021 год утвержден распоряжением администрации города от 25.01.2021 № 119-ра «О мероприятиях по исполнению решения Думы о бюджете города Пыть-Яха на 2021 год и на плановый период 2021 и 2023 годов», направлен на увеличение доли налоговых и неналоговых доходов местного бюджета в общем объеме собственных доходов бюджета муниципального образования (без учета субвенций). </w:t>
            </w:r>
            <w:r w:rsidRPr="00AF455F">
              <w:rPr>
                <w:rFonts w:ascii="Times New Roman" w:hAnsi="Times New Roman" w:cs="Times New Roman"/>
                <w:sz w:val="16"/>
                <w:szCs w:val="16"/>
              </w:rPr>
              <w:br/>
              <w:t>Расчет показателя:</w:t>
            </w:r>
            <w:r w:rsidRPr="00AF455F">
              <w:rPr>
                <w:rFonts w:ascii="Times New Roman" w:hAnsi="Times New Roman" w:cs="Times New Roman"/>
                <w:sz w:val="16"/>
                <w:szCs w:val="16"/>
              </w:rPr>
              <w:br/>
              <w:t>план на 2021 год: 1 131 193,7/2 354 377,0*100%=48,0%;</w:t>
            </w:r>
            <w:r w:rsidRPr="00AF455F">
              <w:rPr>
                <w:rFonts w:ascii="Times New Roman" w:hAnsi="Times New Roman" w:cs="Times New Roman"/>
                <w:sz w:val="16"/>
                <w:szCs w:val="16"/>
              </w:rPr>
              <w:br/>
              <w:t>по состоянию на 01.07.2021г.: 635 179,3/1 037 334,7*100%=61,2%</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Комитет по финансам</w:t>
            </w:r>
          </w:p>
        </w:tc>
      </w:tr>
      <w:tr w:rsidR="00623E4C" w:rsidRPr="00AF455F" w:rsidTr="00816DB4">
        <w:trPr>
          <w:trHeight w:val="1824"/>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lastRenderedPageBreak/>
              <w:t>32</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0,60</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0,55</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0,58</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Запланированный показатель на 2021 год по состоянию на 01.07.2021 года не достигнут. В отношении МУП "Городское лесничество" 2019-2020 годы открыто конкурсное производство (Решение Арбитражного суда ХМАО-Югры от 12.04.2019 № А75-8931/2018). В 2021 году ожидается прекращение конкурсного производства по Решению Арбитражного суда ХМАО-Югры. В 2021 году ожидается прекращение конкурсного производства по Решению Арбитражного суда ХМАО-Югры</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Управление по муниципальному имуществу</w:t>
            </w:r>
          </w:p>
        </w:tc>
      </w:tr>
      <w:tr w:rsidR="00623E4C" w:rsidRPr="00AF455F" w:rsidTr="00816DB4">
        <w:trPr>
          <w:trHeight w:val="1308"/>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33</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Тысяча рублей</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МКУ "Управление капитального строительства"</w:t>
            </w:r>
          </w:p>
        </w:tc>
      </w:tr>
      <w:tr w:rsidR="00623E4C" w:rsidRPr="00AF455F" w:rsidTr="00816DB4">
        <w:trPr>
          <w:trHeight w:val="1608"/>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34</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Запланированный показатель на 2021 год по состоянию на 01.07.2021 года достигнут, уровень достижения показателя к 2020г. - 100%; к плану 2021г. - 100%. </w:t>
            </w:r>
            <w:r w:rsidRPr="00AF455F">
              <w:rPr>
                <w:rFonts w:ascii="Times New Roman" w:hAnsi="Times New Roman" w:cs="Times New Roman"/>
                <w:sz w:val="16"/>
                <w:szCs w:val="16"/>
              </w:rPr>
              <w:br/>
              <w:t>Своевременная выплата заработной платы и перечисление начислений на оплату труда работников муниципальных учреждений города</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Комитет по финансам</w:t>
            </w:r>
          </w:p>
        </w:tc>
      </w:tr>
      <w:tr w:rsidR="00623E4C" w:rsidRPr="00AF455F" w:rsidTr="00126C0B">
        <w:trPr>
          <w:trHeight w:val="1559"/>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35</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Рубль</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4 754,7</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4 833,8</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4 044,6</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2 476,9</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Запланированный показатель на 2021 год по состоянию на 01.07.2021 года не достигнут, уровень достижения показателя к 2020г. - 51,2%; к плану 2021г. - 61,2%. Показатель оценивается по итогам года.</w:t>
            </w:r>
            <w:r w:rsidRPr="00AF455F">
              <w:rPr>
                <w:rFonts w:ascii="Times New Roman" w:hAnsi="Times New Roman" w:cs="Times New Roman"/>
                <w:sz w:val="16"/>
                <w:szCs w:val="16"/>
              </w:rPr>
              <w:br/>
              <w:t xml:space="preserve">В соответствии с указаниями по заполнению формы федерального статистического наблюдения 1-МБ, расходы на содержание работников органов местного самоуправления в расчете на одного жителя муниципального образования рассчитываются   из расходов на содержание ОМС только по разделам 01 02,01 03,01 04, 01 06 </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Комитет по финансам</w:t>
            </w:r>
          </w:p>
        </w:tc>
      </w:tr>
      <w:tr w:rsidR="00623E4C" w:rsidRPr="00AF455F" w:rsidTr="00816DB4">
        <w:trPr>
          <w:trHeight w:val="2964"/>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36</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Условная единица</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1,0</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1,0</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1,0</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1,0</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Запланированный показатель на 2021 год по состоянию на 01.07.2021 года достигнут, уровень достижения показателя к 2020г. - 100%; к плану 2021г. - 100%. </w:t>
            </w:r>
            <w:r w:rsidRPr="00AF455F">
              <w:rPr>
                <w:rFonts w:ascii="Times New Roman" w:hAnsi="Times New Roman" w:cs="Times New Roman"/>
                <w:sz w:val="16"/>
                <w:szCs w:val="16"/>
              </w:rPr>
              <w:br/>
              <w:t xml:space="preserve">Генеральный план города Пыть-Яха утвержден решением Думы города от </w:t>
            </w:r>
            <w:r w:rsidRPr="00AF455F">
              <w:rPr>
                <w:rFonts w:ascii="Times New Roman" w:hAnsi="Times New Roman" w:cs="Times New Roman"/>
                <w:sz w:val="16"/>
                <w:szCs w:val="16"/>
              </w:rPr>
              <w:br/>
              <w:t xml:space="preserve">26.04.2006 №16 (в ред. от 12.07.2010 №555, от 14.12.2010 №604, от 27.09.2011 №86, </w:t>
            </w:r>
            <w:r w:rsidRPr="00AF455F">
              <w:rPr>
                <w:rFonts w:ascii="Times New Roman" w:hAnsi="Times New Roman" w:cs="Times New Roman"/>
                <w:sz w:val="16"/>
                <w:szCs w:val="16"/>
              </w:rPr>
              <w:br/>
              <w:t xml:space="preserve">от 13.05.2015 №331).  </w:t>
            </w:r>
            <w:r w:rsidRPr="00AF455F">
              <w:rPr>
                <w:rFonts w:ascii="Times New Roman" w:hAnsi="Times New Roman" w:cs="Times New Roman"/>
                <w:sz w:val="16"/>
                <w:szCs w:val="16"/>
              </w:rPr>
              <w:br/>
              <w:t xml:space="preserve">Правила землепользования и застройки города утверждены решением Думы </w:t>
            </w:r>
            <w:r w:rsidRPr="00AF455F">
              <w:rPr>
                <w:rFonts w:ascii="Times New Roman" w:hAnsi="Times New Roman" w:cs="Times New Roman"/>
                <w:sz w:val="16"/>
                <w:szCs w:val="16"/>
              </w:rPr>
              <w:br/>
              <w:t xml:space="preserve">от 15.02.2013 № 195 (в ред. от 30.09.2014 №279, от 29.09.2015 №356, от 22.03.2016 </w:t>
            </w:r>
            <w:r w:rsidRPr="00AF455F">
              <w:rPr>
                <w:rFonts w:ascii="Times New Roman" w:hAnsi="Times New Roman" w:cs="Times New Roman"/>
                <w:sz w:val="16"/>
                <w:szCs w:val="16"/>
              </w:rPr>
              <w:br/>
              <w:t xml:space="preserve">№391,от 07.09.2016 № 445, от  07.02.2017 № 60, от 21.03.2018 № 152, от 22.03.2019 </w:t>
            </w:r>
            <w:r w:rsidRPr="00AF455F">
              <w:rPr>
                <w:rFonts w:ascii="Times New Roman" w:hAnsi="Times New Roman" w:cs="Times New Roman"/>
                <w:sz w:val="16"/>
                <w:szCs w:val="16"/>
              </w:rPr>
              <w:br/>
              <w:t>№ 233,  от 30.04.2020 № 315, от 29.09.2020 № 353, от 10.03.2021 №371)</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w:t>
            </w:r>
          </w:p>
        </w:tc>
      </w:tr>
      <w:tr w:rsidR="00623E4C" w:rsidRPr="00AF455F" w:rsidTr="00126C0B">
        <w:trPr>
          <w:trHeight w:val="3546"/>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lastRenderedPageBreak/>
              <w:t>37*</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Удовлетворенность населения деятельностью местного самоуправления городского округа (муниципального района)</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Процент от числа опрошенных</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62,0</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44,5</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Информация за 2021 год будет предоставлена по результатам социологического опроса, в срок до 1 марта </w:t>
            </w:r>
            <w:proofErr w:type="gramStart"/>
            <w:r w:rsidRPr="00AF455F">
              <w:rPr>
                <w:rFonts w:ascii="Times New Roman" w:hAnsi="Times New Roman" w:cs="Times New Roman"/>
                <w:sz w:val="16"/>
                <w:szCs w:val="16"/>
              </w:rPr>
              <w:t>года,  следующего</w:t>
            </w:r>
            <w:proofErr w:type="gramEnd"/>
            <w:r w:rsidRPr="00AF455F">
              <w:rPr>
                <w:rFonts w:ascii="Times New Roman" w:hAnsi="Times New Roman" w:cs="Times New Roman"/>
                <w:sz w:val="16"/>
                <w:szCs w:val="16"/>
              </w:rPr>
              <w:t xml:space="preserve"> за отчетным, вносится Департаментом общественных и внешних связей автономного округа в базу данных  информационной системы «Мониторинг –Югра» (постановление Губернатора ХМАО-Югры от 23.01.2014 №7). Аппаратом управления проведено – 22 приема граждан, принято 34 гражданина, из них глава города провел 15 приемов (22 гражданина), заместители главы города по направлениям – 7 приемов (12 граждан</w:t>
            </w:r>
            <w:proofErr w:type="gramStart"/>
            <w:r w:rsidRPr="00AF455F">
              <w:rPr>
                <w:rFonts w:ascii="Times New Roman" w:hAnsi="Times New Roman" w:cs="Times New Roman"/>
                <w:sz w:val="16"/>
                <w:szCs w:val="16"/>
              </w:rPr>
              <w:t>).</w:t>
            </w:r>
            <w:r w:rsidRPr="00AF455F">
              <w:rPr>
                <w:rFonts w:ascii="Times New Roman" w:hAnsi="Times New Roman" w:cs="Times New Roman"/>
                <w:sz w:val="16"/>
                <w:szCs w:val="16"/>
              </w:rPr>
              <w:br/>
              <w:t>Всего</w:t>
            </w:r>
            <w:proofErr w:type="gramEnd"/>
            <w:r w:rsidRPr="00AF455F">
              <w:rPr>
                <w:rFonts w:ascii="Times New Roman" w:hAnsi="Times New Roman" w:cs="Times New Roman"/>
                <w:sz w:val="16"/>
                <w:szCs w:val="16"/>
              </w:rPr>
              <w:t xml:space="preserve"> информационных материалов, прошедших в средствах массовой информации МАУ «ТРК Пыть-Яхинформ» - 1198. Количество информационных материалов с упоминанием органов местного самоуправления города Пыть-Яха – 527.</w:t>
            </w:r>
            <w:r w:rsidRPr="00AF455F">
              <w:rPr>
                <w:rFonts w:ascii="Times New Roman" w:hAnsi="Times New Roman" w:cs="Times New Roman"/>
                <w:sz w:val="16"/>
                <w:szCs w:val="16"/>
              </w:rPr>
              <w:br/>
              <w:t>Опрос общественного мнения о деятельности органов местного самоуправления за 2021 год был размещен на официальном сайте администрации г. Пыть-Ях 29.03.2021, 23.06.2021. Прямые эфиры главы города - 8; прямые эфиры -2; публичные слушания -2; публичные обсуждения -8; "Городской парламент" - 2; встречи с жителями -</w:t>
            </w:r>
            <w:proofErr w:type="gramStart"/>
            <w:r w:rsidRPr="00AF455F">
              <w:rPr>
                <w:rFonts w:ascii="Times New Roman" w:hAnsi="Times New Roman" w:cs="Times New Roman"/>
                <w:sz w:val="16"/>
                <w:szCs w:val="16"/>
              </w:rPr>
              <w:t>1;  программа</w:t>
            </w:r>
            <w:proofErr w:type="gramEnd"/>
            <w:r w:rsidRPr="00AF455F">
              <w:rPr>
                <w:rFonts w:ascii="Times New Roman" w:hAnsi="Times New Roman" w:cs="Times New Roman"/>
                <w:sz w:val="16"/>
                <w:szCs w:val="16"/>
              </w:rPr>
              <w:t xml:space="preserve"> "Обсуждаем вместе" - 4 выпуска; онлайн-встреча Губернатора с жителями города Пыть-Яха - 1.</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Отдел по внутренней политике, связям с общественными организациями и СМИ управления по внутренней политике</w:t>
            </w:r>
          </w:p>
        </w:tc>
      </w:tr>
      <w:tr w:rsidR="00623E4C" w:rsidRPr="00AF455F" w:rsidTr="00816DB4">
        <w:trPr>
          <w:trHeight w:val="792"/>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38</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Среднегодовая численность постоянного населения</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Тысяча человек</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39,700</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39,503</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39,510</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39,510</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За 2021 год расчётная среднегодовая численность постоянного населения- 39,</w:t>
            </w:r>
            <w:r w:rsidR="00126C0B" w:rsidRPr="00AF455F">
              <w:rPr>
                <w:rFonts w:ascii="Times New Roman" w:hAnsi="Times New Roman" w:cs="Times New Roman"/>
                <w:sz w:val="16"/>
                <w:szCs w:val="16"/>
              </w:rPr>
              <w:t>510 тыс.</w:t>
            </w:r>
            <w:r w:rsidRPr="00AF455F">
              <w:rPr>
                <w:rFonts w:ascii="Times New Roman" w:hAnsi="Times New Roman" w:cs="Times New Roman"/>
                <w:sz w:val="16"/>
                <w:szCs w:val="16"/>
              </w:rPr>
              <w:t xml:space="preserve"> человек</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Управление по экономике</w:t>
            </w:r>
          </w:p>
        </w:tc>
      </w:tr>
      <w:tr w:rsidR="00623E4C" w:rsidRPr="00AF455F" w:rsidTr="00AF455F">
        <w:trPr>
          <w:trHeight w:val="300"/>
        </w:trPr>
        <w:tc>
          <w:tcPr>
            <w:tcW w:w="15538" w:type="dxa"/>
            <w:gridSpan w:val="9"/>
            <w:hideMark/>
          </w:tcPr>
          <w:p w:rsidR="00623E4C" w:rsidRPr="00AF455F" w:rsidRDefault="00623E4C" w:rsidP="00126C0B">
            <w:pPr>
              <w:jc w:val="center"/>
              <w:rPr>
                <w:rFonts w:ascii="Times New Roman" w:hAnsi="Times New Roman" w:cs="Times New Roman"/>
                <w:b/>
                <w:bCs/>
                <w:sz w:val="16"/>
                <w:szCs w:val="16"/>
              </w:rPr>
            </w:pPr>
            <w:r w:rsidRPr="00AF455F">
              <w:rPr>
                <w:rFonts w:ascii="Times New Roman" w:hAnsi="Times New Roman" w:cs="Times New Roman"/>
                <w:b/>
                <w:bCs/>
                <w:sz w:val="16"/>
                <w:szCs w:val="16"/>
              </w:rPr>
              <w:t>Энергосбережение и повышение энергетической эффективности</w:t>
            </w:r>
          </w:p>
        </w:tc>
      </w:tr>
      <w:tr w:rsidR="00AF455F" w:rsidRPr="00AF455F" w:rsidTr="00AF455F">
        <w:trPr>
          <w:trHeight w:val="1239"/>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39</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Неизвестные данные</w:t>
            </w:r>
          </w:p>
        </w:tc>
        <w:tc>
          <w:tcPr>
            <w:tcW w:w="4258" w:type="dxa"/>
            <w:gridSpan w:val="4"/>
            <w:noWrap/>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5612" w:type="dxa"/>
            <w:noWrap/>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1562" w:type="dxa"/>
            <w:vMerge w:val="restart"/>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Управление по жилищно-коммунальному комплексу, транспорту и дорогам</w:t>
            </w:r>
          </w:p>
        </w:tc>
      </w:tr>
      <w:tr w:rsidR="00623E4C" w:rsidRPr="00AF455F" w:rsidTr="00816DB4">
        <w:trPr>
          <w:trHeight w:val="912"/>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39.1</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Удельная величина потребления энергетических ресурсов в многоквартирных домах: электрическая энергия</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килловат в час на 1 проживающего</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905,60</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871,86</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830,26</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474,43</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Показатель оценивается нарастающим по итогам календарного года.</w:t>
            </w:r>
            <w:r w:rsidRPr="00AF455F">
              <w:rPr>
                <w:rFonts w:ascii="Times New Roman" w:hAnsi="Times New Roman" w:cs="Times New Roman"/>
                <w:sz w:val="16"/>
                <w:szCs w:val="16"/>
              </w:rPr>
              <w:br/>
              <w:t>Уровень достижения показателя к 2020г. - 54,4%; к плану 2021г. - 57,1%</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816DB4">
        <w:trPr>
          <w:trHeight w:val="90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39.2</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Удельная величина потребления энергетических ресурсов в многоквартирных домах: тепловая энергия</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Гкал. на 1кв. метр общей площади</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0,27</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0,26</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0,25</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0,12</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Показатель оценивается нарастающим по итогам календарного года.</w:t>
            </w:r>
            <w:r w:rsidRPr="00AF455F">
              <w:rPr>
                <w:rFonts w:ascii="Times New Roman" w:hAnsi="Times New Roman" w:cs="Times New Roman"/>
                <w:sz w:val="16"/>
                <w:szCs w:val="16"/>
              </w:rPr>
              <w:br/>
              <w:t>Уровень достижения показателя к 2020г. - 47,3%; к плану 2021г. - 49,1%</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816DB4">
        <w:trPr>
          <w:trHeight w:val="120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39.3</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Удельная величина потребления энергетических ресурсов в многоквартирных домах: горячая вода</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кубических метров на 1 проживающего</w:t>
            </w:r>
          </w:p>
        </w:tc>
        <w:tc>
          <w:tcPr>
            <w:tcW w:w="992"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11,12</w:t>
            </w:r>
          </w:p>
        </w:tc>
        <w:tc>
          <w:tcPr>
            <w:tcW w:w="993"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10,80</w:t>
            </w:r>
          </w:p>
        </w:tc>
        <w:tc>
          <w:tcPr>
            <w:tcW w:w="1134"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10,80</w:t>
            </w:r>
          </w:p>
        </w:tc>
        <w:tc>
          <w:tcPr>
            <w:tcW w:w="1139" w:type="dxa"/>
            <w:noWrap/>
            <w:hideMark/>
          </w:tcPr>
          <w:p w:rsidR="00623E4C" w:rsidRPr="00AF455F" w:rsidRDefault="00623E4C" w:rsidP="00EF6D55">
            <w:pPr>
              <w:jc w:val="center"/>
              <w:rPr>
                <w:rFonts w:ascii="Times New Roman" w:hAnsi="Times New Roman" w:cs="Times New Roman"/>
                <w:sz w:val="16"/>
                <w:szCs w:val="16"/>
              </w:rPr>
            </w:pPr>
            <w:r w:rsidRPr="00AF455F">
              <w:rPr>
                <w:rFonts w:ascii="Times New Roman" w:hAnsi="Times New Roman" w:cs="Times New Roman"/>
                <w:sz w:val="16"/>
                <w:szCs w:val="16"/>
              </w:rPr>
              <w:t>4,70</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Показатель оценивается нарастающим по итогам календарного года.</w:t>
            </w:r>
            <w:r w:rsidRPr="00AF455F">
              <w:rPr>
                <w:rFonts w:ascii="Times New Roman" w:hAnsi="Times New Roman" w:cs="Times New Roman"/>
                <w:sz w:val="16"/>
                <w:szCs w:val="16"/>
              </w:rPr>
              <w:br/>
              <w:t>Уровень достижения показателя к 2020г. - 43,5%; к плану 2021г. - 43,5%</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816DB4">
        <w:trPr>
          <w:trHeight w:val="120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lastRenderedPageBreak/>
              <w:t>39.4</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Удельная величина потребления энергетических ресурсов в многоквартирных домах: холодная вода</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кубических метров на 1 проживающего</w:t>
            </w:r>
          </w:p>
        </w:tc>
        <w:tc>
          <w:tcPr>
            <w:tcW w:w="992"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22,35</w:t>
            </w:r>
          </w:p>
        </w:tc>
        <w:tc>
          <w:tcPr>
            <w:tcW w:w="993"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21,90</w:t>
            </w:r>
          </w:p>
        </w:tc>
        <w:tc>
          <w:tcPr>
            <w:tcW w:w="1134"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21,90</w:t>
            </w:r>
          </w:p>
        </w:tc>
        <w:tc>
          <w:tcPr>
            <w:tcW w:w="1139"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9,95</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Показатель оценивается нарастающим по итогам календарного года.</w:t>
            </w:r>
            <w:r w:rsidRPr="00AF455F">
              <w:rPr>
                <w:rFonts w:ascii="Times New Roman" w:hAnsi="Times New Roman" w:cs="Times New Roman"/>
                <w:sz w:val="16"/>
                <w:szCs w:val="16"/>
              </w:rPr>
              <w:br/>
              <w:t>Уровень достижения показателя к 2020г. - 45,5%; к плану 2021г. - 45,5%</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816DB4">
        <w:trPr>
          <w:trHeight w:val="120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39.5</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Удельная величина потребления энергетических ресурсов в многоквартирных домах: природный газ</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кубических метров на 1 проживающего</w:t>
            </w:r>
          </w:p>
        </w:tc>
        <w:tc>
          <w:tcPr>
            <w:tcW w:w="992"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993"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4"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9"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w:t>
            </w:r>
          </w:p>
        </w:tc>
      </w:tr>
      <w:tr w:rsidR="00AF455F" w:rsidRPr="00AF455F" w:rsidTr="00AF455F">
        <w:trPr>
          <w:trHeight w:val="138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40</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метр общей площади и (или) на одного человека)</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Неизвестные данные</w:t>
            </w:r>
          </w:p>
        </w:tc>
        <w:tc>
          <w:tcPr>
            <w:tcW w:w="4258" w:type="dxa"/>
            <w:gridSpan w:val="4"/>
            <w:noWrap/>
            <w:hideMark/>
          </w:tcPr>
          <w:p w:rsidR="00623E4C" w:rsidRPr="00AF455F" w:rsidRDefault="00623E4C" w:rsidP="00D22699">
            <w:pPr>
              <w:jc w:val="center"/>
              <w:rPr>
                <w:rFonts w:ascii="Times New Roman" w:hAnsi="Times New Roman" w:cs="Times New Roman"/>
                <w:sz w:val="16"/>
                <w:szCs w:val="16"/>
              </w:rPr>
            </w:pPr>
          </w:p>
        </w:tc>
        <w:tc>
          <w:tcPr>
            <w:tcW w:w="5612" w:type="dxa"/>
            <w:noWrap/>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1562" w:type="dxa"/>
            <w:vMerge w:val="restart"/>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Управление по жилищно-коммунальному комплексу, транспорту и дорогам</w:t>
            </w:r>
          </w:p>
        </w:tc>
      </w:tr>
      <w:tr w:rsidR="00623E4C" w:rsidRPr="00AF455F" w:rsidTr="00816DB4">
        <w:trPr>
          <w:trHeight w:val="1932"/>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40.1</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Удельная величина потребления энергетических ресурсов муниципальными бюджетными учреждениями: электрическая энергия</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килловат в час на 1 проживающего</w:t>
            </w:r>
          </w:p>
        </w:tc>
        <w:tc>
          <w:tcPr>
            <w:tcW w:w="992"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155,15</w:t>
            </w:r>
          </w:p>
        </w:tc>
        <w:tc>
          <w:tcPr>
            <w:tcW w:w="993"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123,11</w:t>
            </w:r>
          </w:p>
        </w:tc>
        <w:tc>
          <w:tcPr>
            <w:tcW w:w="1134"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149,66</w:t>
            </w:r>
          </w:p>
        </w:tc>
        <w:tc>
          <w:tcPr>
            <w:tcW w:w="1139"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68,03</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Показатель оценивается нарастающим по итогам календарного года.</w:t>
            </w:r>
            <w:r w:rsidRPr="00AF455F">
              <w:rPr>
                <w:rFonts w:ascii="Times New Roman" w:hAnsi="Times New Roman" w:cs="Times New Roman"/>
                <w:sz w:val="16"/>
                <w:szCs w:val="16"/>
              </w:rPr>
              <w:br/>
              <w:t>Уровень достижения показателя к 2020г. - 55,3%; к плану 2021г. - 45,5</w:t>
            </w:r>
            <w:r w:rsidR="004609C8" w:rsidRPr="00AF455F">
              <w:rPr>
                <w:rFonts w:ascii="Times New Roman" w:hAnsi="Times New Roman" w:cs="Times New Roman"/>
                <w:sz w:val="16"/>
                <w:szCs w:val="16"/>
              </w:rPr>
              <w:t>%. Продолжается</w:t>
            </w:r>
            <w:r w:rsidRPr="00AF455F">
              <w:rPr>
                <w:rFonts w:ascii="Times New Roman" w:hAnsi="Times New Roman" w:cs="Times New Roman"/>
                <w:sz w:val="16"/>
                <w:szCs w:val="16"/>
              </w:rPr>
              <w:t xml:space="preserve"> реализация мероприятия по соблюдению требований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(замена ламп накаливания на энергосберегающие светильники, контроль за отключением) </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816DB4">
        <w:trPr>
          <w:trHeight w:val="132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40.2</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Удельная величина потребления энергетических ресурсов муниципальными бюджетными учреждениями: тепловая энергия</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Гкал. на 1кв. метр общей площади</w:t>
            </w:r>
          </w:p>
        </w:tc>
        <w:tc>
          <w:tcPr>
            <w:tcW w:w="992"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0,26</w:t>
            </w:r>
          </w:p>
        </w:tc>
        <w:tc>
          <w:tcPr>
            <w:tcW w:w="993"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0,20</w:t>
            </w:r>
          </w:p>
        </w:tc>
        <w:tc>
          <w:tcPr>
            <w:tcW w:w="1134"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0,25</w:t>
            </w:r>
          </w:p>
        </w:tc>
        <w:tc>
          <w:tcPr>
            <w:tcW w:w="1139"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0,13</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Показатель оценивается нарастающим по итогам календарного года.</w:t>
            </w:r>
            <w:r w:rsidRPr="00AF455F">
              <w:rPr>
                <w:rFonts w:ascii="Times New Roman" w:hAnsi="Times New Roman" w:cs="Times New Roman"/>
                <w:sz w:val="16"/>
                <w:szCs w:val="16"/>
              </w:rPr>
              <w:br/>
              <w:t>Уровень достижения показателя к 2020г. - 66,6%; к плану 2021г. - 52,6</w:t>
            </w:r>
            <w:r w:rsidR="004609C8" w:rsidRPr="00AF455F">
              <w:rPr>
                <w:rFonts w:ascii="Times New Roman" w:hAnsi="Times New Roman" w:cs="Times New Roman"/>
                <w:sz w:val="16"/>
                <w:szCs w:val="16"/>
              </w:rPr>
              <w:t>%. Во</w:t>
            </w:r>
            <w:r w:rsidRPr="00AF455F">
              <w:rPr>
                <w:rFonts w:ascii="Times New Roman" w:hAnsi="Times New Roman" w:cs="Times New Roman"/>
                <w:sz w:val="16"/>
                <w:szCs w:val="16"/>
              </w:rPr>
              <w:t xml:space="preserve"> всех муниципальных учреждениях установлены автоматизированные индивидуальные тепловые пункты с погодным регулированием</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816DB4">
        <w:trPr>
          <w:trHeight w:val="1476"/>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40.3</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Удельная величина потребления энергетических ресурсов муниципальными бюджетными учреждениями: горячая вода</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кубических метров на 1 проживающего</w:t>
            </w:r>
          </w:p>
        </w:tc>
        <w:tc>
          <w:tcPr>
            <w:tcW w:w="992"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0,04</w:t>
            </w:r>
          </w:p>
        </w:tc>
        <w:tc>
          <w:tcPr>
            <w:tcW w:w="993"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0,04</w:t>
            </w:r>
          </w:p>
        </w:tc>
        <w:tc>
          <w:tcPr>
            <w:tcW w:w="1134"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0,04</w:t>
            </w:r>
          </w:p>
        </w:tc>
        <w:tc>
          <w:tcPr>
            <w:tcW w:w="1139"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0,02</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Показатель оценивается нарастающим по итогам календарного года.</w:t>
            </w:r>
            <w:r w:rsidRPr="00AF455F">
              <w:rPr>
                <w:rFonts w:ascii="Times New Roman" w:hAnsi="Times New Roman" w:cs="Times New Roman"/>
                <w:sz w:val="16"/>
                <w:szCs w:val="16"/>
              </w:rPr>
              <w:br/>
              <w:t>Уровень достижения показателя к 2020г. - 66,7%; к плану 2021г. - 58,7%.</w:t>
            </w:r>
            <w:r w:rsidRPr="00AF455F">
              <w:rPr>
                <w:rFonts w:ascii="Times New Roman" w:hAnsi="Times New Roman" w:cs="Times New Roman"/>
                <w:sz w:val="16"/>
                <w:szCs w:val="16"/>
              </w:rPr>
              <w:br/>
              <w:t xml:space="preserve"> Горячее водоснабжение готовится непосредственно в индивидуальном тепловом пункте бюджетного учреждения, приборы учета горячего водоснабжения отсутствуют.</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4609C8">
        <w:trPr>
          <w:trHeight w:val="1136"/>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40.4</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Удельная величина потребления энергетических ресурсов муниципальными бюджетными учреждениями: холодная вода</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кубических метров на 1 проживающего</w:t>
            </w:r>
          </w:p>
        </w:tc>
        <w:tc>
          <w:tcPr>
            <w:tcW w:w="992"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1,71</w:t>
            </w:r>
          </w:p>
        </w:tc>
        <w:tc>
          <w:tcPr>
            <w:tcW w:w="993"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1,61</w:t>
            </w:r>
          </w:p>
        </w:tc>
        <w:tc>
          <w:tcPr>
            <w:tcW w:w="1134"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1,64</w:t>
            </w:r>
          </w:p>
        </w:tc>
        <w:tc>
          <w:tcPr>
            <w:tcW w:w="1139"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0,91</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Показатель оценивается нарастающим по итогам календарного года.</w:t>
            </w:r>
            <w:r w:rsidRPr="00AF455F">
              <w:rPr>
                <w:rFonts w:ascii="Times New Roman" w:hAnsi="Times New Roman" w:cs="Times New Roman"/>
                <w:sz w:val="16"/>
                <w:szCs w:val="16"/>
              </w:rPr>
              <w:br/>
              <w:t>Уровень достижения показателя к 2020г. - 56,6%; к плану 2021г. - 55,6</w:t>
            </w:r>
            <w:r w:rsidR="004609C8" w:rsidRPr="00AF455F">
              <w:rPr>
                <w:rFonts w:ascii="Times New Roman" w:hAnsi="Times New Roman" w:cs="Times New Roman"/>
                <w:sz w:val="16"/>
                <w:szCs w:val="16"/>
              </w:rPr>
              <w:t>%. Продолжается</w:t>
            </w:r>
            <w:r w:rsidRPr="00AF455F">
              <w:rPr>
                <w:rFonts w:ascii="Times New Roman" w:hAnsi="Times New Roman" w:cs="Times New Roman"/>
                <w:sz w:val="16"/>
                <w:szCs w:val="16"/>
              </w:rPr>
              <w:t xml:space="preserve"> реализация мероприятий в соответствии с Федеральным законом от 23.11.2009 № 261-ФЗ (ввод в эксплуатацию приборов учета коммунальной инфраструктуры) и экономией потребления холодной воды.</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816DB4">
        <w:trPr>
          <w:trHeight w:val="120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lastRenderedPageBreak/>
              <w:t>40.5</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Удельная величина потребления энергетических ресурсов муниципальными бюджетными учреждениями: природный газ</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кубических метров на 1 проживающего</w:t>
            </w:r>
          </w:p>
        </w:tc>
        <w:tc>
          <w:tcPr>
            <w:tcW w:w="992"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993"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4"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9"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5612"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1562" w:type="dxa"/>
            <w:vMerge/>
            <w:hideMark/>
          </w:tcPr>
          <w:p w:rsidR="00623E4C" w:rsidRPr="00AF455F" w:rsidRDefault="00623E4C">
            <w:pPr>
              <w:rPr>
                <w:rFonts w:ascii="Times New Roman" w:hAnsi="Times New Roman" w:cs="Times New Roman"/>
                <w:sz w:val="16"/>
                <w:szCs w:val="16"/>
              </w:rPr>
            </w:pPr>
          </w:p>
        </w:tc>
      </w:tr>
      <w:tr w:rsidR="00623E4C" w:rsidRPr="00AF455F" w:rsidTr="00816DB4">
        <w:trPr>
          <w:trHeight w:val="5280"/>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41</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на основании распоряжения Правительства Ханты-Мансийского автономного округа – Югры от 20.07.2018 № 378-рп «О внесении изменений в распоряжение Правительства Ханты-Мансийского автономного округа – Югры от 15 марта 2013 года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Балл</w:t>
            </w:r>
          </w:p>
        </w:tc>
        <w:tc>
          <w:tcPr>
            <w:tcW w:w="3119" w:type="dxa"/>
            <w:gridSpan w:val="3"/>
            <w:noWrap/>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1139" w:type="dxa"/>
            <w:noWrap/>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5612"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w:t>
            </w:r>
          </w:p>
        </w:tc>
      </w:tr>
      <w:tr w:rsidR="00623E4C" w:rsidRPr="00AF455F" w:rsidTr="00816DB4">
        <w:trPr>
          <w:trHeight w:val="3396"/>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41.1</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Результаты независимой оценки качества условий оказания услуг муниципальными организациями в сфере культуры</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Балл</w:t>
            </w:r>
          </w:p>
        </w:tc>
        <w:tc>
          <w:tcPr>
            <w:tcW w:w="992"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91,3</w:t>
            </w:r>
          </w:p>
        </w:tc>
        <w:tc>
          <w:tcPr>
            <w:tcW w:w="993"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w:t>
            </w:r>
          </w:p>
        </w:tc>
        <w:tc>
          <w:tcPr>
            <w:tcW w:w="1134"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w:t>
            </w:r>
          </w:p>
        </w:tc>
        <w:tc>
          <w:tcPr>
            <w:tcW w:w="1139"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В соответствии с Законом Российской Федерации от 09.10.1992 №3612-I «Основы законодательства Российской Федерации о культуре» независимая оценка качества оказания услуг организациями культуры проводится не чаще, чем один раз в год и не реже, чем один раз в три года в отношении одной и той же организации. </w:t>
            </w:r>
            <w:r w:rsidRPr="00AF455F">
              <w:rPr>
                <w:rFonts w:ascii="Times New Roman" w:hAnsi="Times New Roman" w:cs="Times New Roman"/>
                <w:sz w:val="16"/>
                <w:szCs w:val="16"/>
              </w:rPr>
              <w:br/>
              <w:t xml:space="preserve">В 2019 году независимая оценка качества проведена в отношении трех учреждений культуры.  Результаты независимой оценки </w:t>
            </w:r>
            <w:r w:rsidR="004609C8" w:rsidRPr="00AF455F">
              <w:rPr>
                <w:rFonts w:ascii="Times New Roman" w:hAnsi="Times New Roman" w:cs="Times New Roman"/>
                <w:sz w:val="16"/>
                <w:szCs w:val="16"/>
              </w:rPr>
              <w:t>качества: МАУК</w:t>
            </w:r>
            <w:r w:rsidRPr="00AF455F">
              <w:rPr>
                <w:rFonts w:ascii="Times New Roman" w:hAnsi="Times New Roman" w:cs="Times New Roman"/>
                <w:sz w:val="16"/>
                <w:szCs w:val="16"/>
              </w:rPr>
              <w:t xml:space="preserve"> «Культурный центр: библиотека-музей» (96,8 баллов</w:t>
            </w:r>
            <w:r w:rsidR="004609C8" w:rsidRPr="00AF455F">
              <w:rPr>
                <w:rFonts w:ascii="Times New Roman" w:hAnsi="Times New Roman" w:cs="Times New Roman"/>
                <w:sz w:val="16"/>
                <w:szCs w:val="16"/>
              </w:rPr>
              <w:t>); МАУК</w:t>
            </w:r>
            <w:r w:rsidRPr="00AF455F">
              <w:rPr>
                <w:rFonts w:ascii="Times New Roman" w:hAnsi="Times New Roman" w:cs="Times New Roman"/>
                <w:sz w:val="16"/>
                <w:szCs w:val="16"/>
              </w:rPr>
              <w:t xml:space="preserve"> «Культурно-досуговый центр» (90,8 баллов</w:t>
            </w:r>
            <w:r w:rsidR="004609C8" w:rsidRPr="00AF455F">
              <w:rPr>
                <w:rFonts w:ascii="Times New Roman" w:hAnsi="Times New Roman" w:cs="Times New Roman"/>
                <w:sz w:val="16"/>
                <w:szCs w:val="16"/>
              </w:rPr>
              <w:t>); МБОУ</w:t>
            </w:r>
            <w:r w:rsidRPr="00AF455F">
              <w:rPr>
                <w:rFonts w:ascii="Times New Roman" w:hAnsi="Times New Roman" w:cs="Times New Roman"/>
                <w:sz w:val="16"/>
                <w:szCs w:val="16"/>
              </w:rPr>
              <w:t xml:space="preserve"> ДО «Детская школа искусств» (86,3 баллов - что по градации общероссийского портала соответствует уровню оказания услуг на «5» баллов). Среднее значение по результатам за 2019 год составило - 91,3 балла. </w:t>
            </w:r>
            <w:r w:rsidRPr="00AF455F">
              <w:rPr>
                <w:rFonts w:ascii="Times New Roman" w:hAnsi="Times New Roman" w:cs="Times New Roman"/>
                <w:sz w:val="16"/>
                <w:szCs w:val="16"/>
              </w:rPr>
              <w:br/>
              <w:t>Проведение следующей независимой оценки качества условий оказания услуг учреждениями культуры запланировано на 2022 год</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Отдел по культуре и искусству</w:t>
            </w:r>
          </w:p>
        </w:tc>
      </w:tr>
      <w:tr w:rsidR="00623E4C" w:rsidRPr="00AF455F" w:rsidTr="00816DB4">
        <w:trPr>
          <w:trHeight w:val="15"/>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lastRenderedPageBreak/>
              <w:t>41.2</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Результаты независимой оценки качества условий оказания услуг муниципальными организациями в сфере охраны здоровья</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Балл</w:t>
            </w:r>
          </w:p>
        </w:tc>
        <w:tc>
          <w:tcPr>
            <w:tcW w:w="992"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993"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4"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0</w:t>
            </w:r>
          </w:p>
        </w:tc>
        <w:tc>
          <w:tcPr>
            <w:tcW w:w="1139" w:type="dxa"/>
            <w:noWrap/>
            <w:hideMark/>
          </w:tcPr>
          <w:p w:rsidR="00623E4C" w:rsidRPr="00AF455F" w:rsidRDefault="00623E4C" w:rsidP="00D22699">
            <w:pPr>
              <w:jc w:val="center"/>
              <w:rPr>
                <w:rFonts w:ascii="Times New Roman" w:hAnsi="Times New Roman" w:cs="Times New Roman"/>
                <w:sz w:val="16"/>
                <w:szCs w:val="16"/>
              </w:rPr>
            </w:pP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w:t>
            </w:r>
          </w:p>
        </w:tc>
      </w:tr>
      <w:tr w:rsidR="00623E4C" w:rsidRPr="00AF455F" w:rsidTr="004609C8">
        <w:trPr>
          <w:trHeight w:val="909"/>
        </w:trPr>
        <w:tc>
          <w:tcPr>
            <w:tcW w:w="791"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41.3</w:t>
            </w:r>
          </w:p>
        </w:tc>
        <w:tc>
          <w:tcPr>
            <w:tcW w:w="250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Результаты независимой оценки качества условий оказания услуг муниципальными организациями в сфере образования</w:t>
            </w:r>
          </w:p>
        </w:tc>
        <w:tc>
          <w:tcPr>
            <w:tcW w:w="813" w:type="dxa"/>
            <w:hideMark/>
          </w:tcPr>
          <w:p w:rsidR="00623E4C" w:rsidRPr="00AF455F" w:rsidRDefault="00623E4C" w:rsidP="00623E4C">
            <w:pPr>
              <w:rPr>
                <w:rFonts w:ascii="Times New Roman" w:hAnsi="Times New Roman" w:cs="Times New Roman"/>
                <w:sz w:val="16"/>
                <w:szCs w:val="16"/>
              </w:rPr>
            </w:pPr>
            <w:r w:rsidRPr="00AF455F">
              <w:rPr>
                <w:rFonts w:ascii="Times New Roman" w:hAnsi="Times New Roman" w:cs="Times New Roman"/>
                <w:sz w:val="16"/>
                <w:szCs w:val="16"/>
              </w:rPr>
              <w:t>Балл</w:t>
            </w:r>
          </w:p>
        </w:tc>
        <w:tc>
          <w:tcPr>
            <w:tcW w:w="992"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90,0</w:t>
            </w:r>
          </w:p>
        </w:tc>
        <w:tc>
          <w:tcPr>
            <w:tcW w:w="993"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87,0</w:t>
            </w:r>
          </w:p>
        </w:tc>
        <w:tc>
          <w:tcPr>
            <w:tcW w:w="1134"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w:t>
            </w:r>
          </w:p>
        </w:tc>
        <w:tc>
          <w:tcPr>
            <w:tcW w:w="1139" w:type="dxa"/>
            <w:noWrap/>
            <w:hideMark/>
          </w:tcPr>
          <w:p w:rsidR="00623E4C" w:rsidRPr="00AF455F" w:rsidRDefault="00623E4C" w:rsidP="00D22699">
            <w:pPr>
              <w:jc w:val="center"/>
              <w:rPr>
                <w:rFonts w:ascii="Times New Roman" w:hAnsi="Times New Roman" w:cs="Times New Roman"/>
                <w:sz w:val="16"/>
                <w:szCs w:val="16"/>
              </w:rPr>
            </w:pPr>
            <w:r w:rsidRPr="00AF455F">
              <w:rPr>
                <w:rFonts w:ascii="Times New Roman" w:hAnsi="Times New Roman" w:cs="Times New Roman"/>
                <w:sz w:val="16"/>
                <w:szCs w:val="16"/>
              </w:rPr>
              <w:t>-</w:t>
            </w:r>
          </w:p>
        </w:tc>
        <w:tc>
          <w:tcPr>
            <w:tcW w:w="561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Показатель </w:t>
            </w:r>
            <w:r w:rsidR="004609C8" w:rsidRPr="00AF455F">
              <w:rPr>
                <w:rFonts w:ascii="Times New Roman" w:hAnsi="Times New Roman" w:cs="Times New Roman"/>
                <w:sz w:val="16"/>
                <w:szCs w:val="16"/>
              </w:rPr>
              <w:t>рассчитывается</w:t>
            </w:r>
            <w:r w:rsidRPr="00AF455F">
              <w:rPr>
                <w:rFonts w:ascii="Times New Roman" w:hAnsi="Times New Roman" w:cs="Times New Roman"/>
                <w:sz w:val="16"/>
                <w:szCs w:val="16"/>
              </w:rPr>
              <w:t xml:space="preserve"> по итогам года, мероприятия назначены на ноябрь 2021 года. В 2021 году в НОКО будут участвовать 6 общеобразовательных организаций (МБОУ СОШ № 1, 2, 4, 5, 6, МАОУ "Прогимназия "Созвездие").</w:t>
            </w:r>
          </w:p>
        </w:tc>
        <w:tc>
          <w:tcPr>
            <w:tcW w:w="1562" w:type="dxa"/>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Управление по образованию </w:t>
            </w:r>
          </w:p>
        </w:tc>
      </w:tr>
      <w:tr w:rsidR="00623E4C" w:rsidRPr="00AF455F" w:rsidTr="00AF455F">
        <w:trPr>
          <w:trHeight w:val="1008"/>
        </w:trPr>
        <w:tc>
          <w:tcPr>
            <w:tcW w:w="15538" w:type="dxa"/>
            <w:gridSpan w:val="9"/>
            <w:hideMark/>
          </w:tcPr>
          <w:p w:rsidR="00623E4C" w:rsidRPr="00AF455F" w:rsidRDefault="00623E4C">
            <w:pPr>
              <w:rPr>
                <w:rFonts w:ascii="Times New Roman" w:hAnsi="Times New Roman" w:cs="Times New Roman"/>
                <w:sz w:val="16"/>
                <w:szCs w:val="16"/>
              </w:rPr>
            </w:pPr>
            <w:r w:rsidRPr="00AF455F">
              <w:rPr>
                <w:rFonts w:ascii="Times New Roman" w:hAnsi="Times New Roman" w:cs="Times New Roman"/>
                <w:sz w:val="16"/>
                <w:szCs w:val="16"/>
              </w:rPr>
              <w:t xml:space="preserve">* Перечень показателей результативности, используемых Правительством ХМАО - Югры для оценки эффективности деятельности органов местного самоуправления городских округов и муниципальных районов ХМАО-Югры для определения размеров грантов муниципальным образованиям, утвержденных распоряжением Правительства ХМАО -Югры от 15.03.2013 №92-рп </w:t>
            </w:r>
          </w:p>
        </w:tc>
      </w:tr>
    </w:tbl>
    <w:p w:rsidR="009D4223" w:rsidRPr="00AF455F" w:rsidRDefault="009D4223">
      <w:pPr>
        <w:rPr>
          <w:rFonts w:ascii="Times New Roman" w:hAnsi="Times New Roman" w:cs="Times New Roman"/>
          <w:sz w:val="16"/>
          <w:szCs w:val="16"/>
        </w:rPr>
      </w:pPr>
    </w:p>
    <w:sectPr w:rsidR="009D4223" w:rsidRPr="00AF455F" w:rsidSect="00816DB4">
      <w:pgSz w:w="16838" w:h="11906" w:orient="landscape"/>
      <w:pgMar w:top="113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83"/>
    <w:rsid w:val="000D39C2"/>
    <w:rsid w:val="000D4741"/>
    <w:rsid w:val="00126C0B"/>
    <w:rsid w:val="00180937"/>
    <w:rsid w:val="001F18D9"/>
    <w:rsid w:val="002C5B83"/>
    <w:rsid w:val="002E6EF4"/>
    <w:rsid w:val="003D25AD"/>
    <w:rsid w:val="00407920"/>
    <w:rsid w:val="004609C8"/>
    <w:rsid w:val="004F1813"/>
    <w:rsid w:val="00522147"/>
    <w:rsid w:val="00623E4C"/>
    <w:rsid w:val="00690B36"/>
    <w:rsid w:val="006D4BEF"/>
    <w:rsid w:val="00730C00"/>
    <w:rsid w:val="007F59A8"/>
    <w:rsid w:val="00816DB4"/>
    <w:rsid w:val="00831635"/>
    <w:rsid w:val="008E16DD"/>
    <w:rsid w:val="008F7B88"/>
    <w:rsid w:val="00921983"/>
    <w:rsid w:val="00942C40"/>
    <w:rsid w:val="00965A51"/>
    <w:rsid w:val="009D4223"/>
    <w:rsid w:val="00A61DFB"/>
    <w:rsid w:val="00A80B28"/>
    <w:rsid w:val="00AF455F"/>
    <w:rsid w:val="00B51F11"/>
    <w:rsid w:val="00BF1AD3"/>
    <w:rsid w:val="00C42358"/>
    <w:rsid w:val="00CA0694"/>
    <w:rsid w:val="00CB0C1A"/>
    <w:rsid w:val="00CB4F7A"/>
    <w:rsid w:val="00D22699"/>
    <w:rsid w:val="00DA036A"/>
    <w:rsid w:val="00EE6D69"/>
    <w:rsid w:val="00EF6D55"/>
    <w:rsid w:val="00F861E3"/>
    <w:rsid w:val="00FB7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BC09E-B58E-4214-8821-863B861D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3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18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F18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7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Pages>
  <Words>7383</Words>
  <Characters>42084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Бунак</dc:creator>
  <cp:keywords/>
  <dc:description/>
  <cp:lastModifiedBy>Людмила Бунак</cp:lastModifiedBy>
  <cp:revision>28</cp:revision>
  <cp:lastPrinted>2021-07-22T12:09:00Z</cp:lastPrinted>
  <dcterms:created xsi:type="dcterms:W3CDTF">2021-07-22T07:41:00Z</dcterms:created>
  <dcterms:modified xsi:type="dcterms:W3CDTF">2021-07-22T12:10:00Z</dcterms:modified>
</cp:coreProperties>
</file>