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DEA" w:rsidRPr="00804DEA" w:rsidRDefault="00804DEA" w:rsidP="00804DEA">
      <w:pPr>
        <w:jc w:val="center"/>
        <w:rPr>
          <w:b/>
          <w:sz w:val="26"/>
          <w:szCs w:val="26"/>
        </w:rPr>
      </w:pPr>
      <w:r w:rsidRPr="00804DEA">
        <w:rPr>
          <w:b/>
          <w:sz w:val="26"/>
          <w:szCs w:val="26"/>
        </w:rPr>
        <w:t>Информация об организации профессионального обучения и дополнительного профессионального образования граждан предпенсионного возраста</w:t>
      </w:r>
    </w:p>
    <w:p w:rsidR="00804DEA" w:rsidRDefault="00804DEA" w:rsidP="00804DEA">
      <w:pPr>
        <w:jc w:val="both"/>
        <w:rPr>
          <w:sz w:val="26"/>
          <w:szCs w:val="26"/>
        </w:rPr>
      </w:pPr>
    </w:p>
    <w:p w:rsidR="00804DEA" w:rsidRPr="00804DEA" w:rsidRDefault="00804DEA" w:rsidP="00804DEA">
      <w:pPr>
        <w:jc w:val="both"/>
        <w:rPr>
          <w:sz w:val="26"/>
          <w:szCs w:val="26"/>
        </w:rPr>
      </w:pPr>
    </w:p>
    <w:p w:rsidR="00804DEA" w:rsidRPr="00804DEA" w:rsidRDefault="00804DEA" w:rsidP="00804DEA">
      <w:pPr>
        <w:ind w:firstLine="708"/>
        <w:jc w:val="both"/>
        <w:rPr>
          <w:sz w:val="26"/>
          <w:szCs w:val="26"/>
        </w:rPr>
      </w:pPr>
      <w:r w:rsidRPr="00804DEA">
        <w:rPr>
          <w:sz w:val="26"/>
          <w:szCs w:val="26"/>
        </w:rPr>
        <w:t xml:space="preserve">Порядок организации профессионального обучения и дополнительного профессионального образования граждан предпенсионного возраста и расходования бюджетных средств (далее – </w:t>
      </w:r>
      <w:proofErr w:type="spellStart"/>
      <w:r w:rsidRPr="00804DEA">
        <w:rPr>
          <w:sz w:val="26"/>
          <w:szCs w:val="26"/>
        </w:rPr>
        <w:t>профобучение</w:t>
      </w:r>
      <w:proofErr w:type="spellEnd"/>
      <w:r w:rsidRPr="00804DEA">
        <w:rPr>
          <w:sz w:val="26"/>
          <w:szCs w:val="26"/>
        </w:rPr>
        <w:t xml:space="preserve">) утвержден постановлением Правительства </w:t>
      </w:r>
      <w:proofErr w:type="spellStart"/>
      <w:r w:rsidRPr="00804DEA">
        <w:rPr>
          <w:sz w:val="26"/>
          <w:szCs w:val="26"/>
        </w:rPr>
        <w:t>ХантыМансийского</w:t>
      </w:r>
      <w:proofErr w:type="spellEnd"/>
      <w:r w:rsidRPr="00804DEA">
        <w:rPr>
          <w:sz w:val="26"/>
          <w:szCs w:val="26"/>
        </w:rPr>
        <w:t xml:space="preserve"> автономного округа – Югры от 05.10.2018 № 343-п «О государственной программе Ханты-Мансийского автономного округа – Югры «Поддержка занятости н</w:t>
      </w:r>
      <w:bookmarkStart w:id="0" w:name="_GoBack"/>
      <w:bookmarkEnd w:id="0"/>
      <w:r w:rsidRPr="00804DEA">
        <w:rPr>
          <w:sz w:val="26"/>
          <w:szCs w:val="26"/>
        </w:rPr>
        <w:t xml:space="preserve">аселения»» (приложение 30). </w:t>
      </w:r>
    </w:p>
    <w:p w:rsidR="00804DEA" w:rsidRPr="00804DEA" w:rsidRDefault="00804DEA" w:rsidP="00804DEA">
      <w:pPr>
        <w:ind w:firstLine="708"/>
        <w:jc w:val="both"/>
        <w:rPr>
          <w:sz w:val="26"/>
          <w:szCs w:val="26"/>
        </w:rPr>
      </w:pPr>
      <w:r w:rsidRPr="00804DEA">
        <w:rPr>
          <w:sz w:val="26"/>
          <w:szCs w:val="26"/>
        </w:rPr>
        <w:t xml:space="preserve">В 2019 году планируется обучить 1 446 граждан предпенсионного возраста, к концу 2024 года – 4338 граждан. </w:t>
      </w:r>
    </w:p>
    <w:p w:rsidR="00804DEA" w:rsidRPr="00804DEA" w:rsidRDefault="00804DEA" w:rsidP="00804DEA">
      <w:pPr>
        <w:ind w:firstLine="708"/>
        <w:jc w:val="both"/>
        <w:rPr>
          <w:sz w:val="26"/>
          <w:szCs w:val="26"/>
        </w:rPr>
      </w:pPr>
      <w:proofErr w:type="gramStart"/>
      <w:r w:rsidRPr="00804DEA">
        <w:rPr>
          <w:sz w:val="26"/>
          <w:szCs w:val="26"/>
        </w:rPr>
        <w:t xml:space="preserve">Источниками финансирования мероприятия по </w:t>
      </w:r>
      <w:proofErr w:type="spellStart"/>
      <w:r w:rsidRPr="00804DEA">
        <w:rPr>
          <w:sz w:val="26"/>
          <w:szCs w:val="26"/>
        </w:rPr>
        <w:t>профобучению</w:t>
      </w:r>
      <w:proofErr w:type="spellEnd"/>
      <w:r w:rsidRPr="00804DEA">
        <w:rPr>
          <w:sz w:val="26"/>
          <w:szCs w:val="26"/>
        </w:rPr>
        <w:t xml:space="preserve"> граждан предпенсионного возраста являются средства федерального бюджета в размере 58,634 млн. руб., выделенные Ханты-Мансийскому автономному округу – Югре (далее – автономный округ) в виде иного межбюджетного трансферта на основании соглашения, заключенного между Федеральной службой по труду и занятости и Правительством автономного округа 06.02.2019, и средства бюджета автономного округа в размере 6,686 млн. руб. </w:t>
      </w:r>
      <w:proofErr w:type="gramEnd"/>
    </w:p>
    <w:p w:rsidR="00804DEA" w:rsidRPr="00804DEA" w:rsidRDefault="00804DEA" w:rsidP="00804DEA">
      <w:pPr>
        <w:ind w:firstLine="708"/>
        <w:jc w:val="both"/>
        <w:rPr>
          <w:sz w:val="26"/>
          <w:szCs w:val="26"/>
        </w:rPr>
      </w:pPr>
      <w:r w:rsidRPr="00804DEA">
        <w:rPr>
          <w:sz w:val="26"/>
          <w:szCs w:val="26"/>
        </w:rPr>
        <w:t xml:space="preserve">Средства федерального бюджета предусмотрены </w:t>
      </w:r>
      <w:proofErr w:type="gramStart"/>
      <w:r w:rsidRPr="00804DEA">
        <w:rPr>
          <w:sz w:val="26"/>
          <w:szCs w:val="26"/>
        </w:rPr>
        <w:t>на</w:t>
      </w:r>
      <w:proofErr w:type="gramEnd"/>
      <w:r w:rsidRPr="00804DEA">
        <w:rPr>
          <w:sz w:val="26"/>
          <w:szCs w:val="26"/>
        </w:rPr>
        <w:t xml:space="preserve">: </w:t>
      </w:r>
    </w:p>
    <w:p w:rsidR="00804DEA" w:rsidRPr="00804DEA" w:rsidRDefault="00804DEA" w:rsidP="00804DEA">
      <w:pPr>
        <w:pStyle w:val="a7"/>
        <w:numPr>
          <w:ilvl w:val="0"/>
          <w:numId w:val="5"/>
        </w:numPr>
        <w:spacing w:line="240" w:lineRule="auto"/>
        <w:ind w:left="0" w:firstLine="709"/>
        <w:rPr>
          <w:rFonts w:ascii="Times New Roman" w:hAnsi="Times New Roman"/>
          <w:sz w:val="26"/>
          <w:szCs w:val="26"/>
        </w:rPr>
      </w:pPr>
      <w:r w:rsidRPr="00804DEA">
        <w:rPr>
          <w:rFonts w:ascii="Times New Roman" w:hAnsi="Times New Roman"/>
          <w:sz w:val="26"/>
          <w:szCs w:val="26"/>
        </w:rPr>
        <w:t xml:space="preserve">оплату </w:t>
      </w:r>
      <w:proofErr w:type="spellStart"/>
      <w:r w:rsidRPr="00804DEA">
        <w:rPr>
          <w:rFonts w:ascii="Times New Roman" w:hAnsi="Times New Roman"/>
          <w:sz w:val="26"/>
          <w:szCs w:val="26"/>
        </w:rPr>
        <w:t>профобучения</w:t>
      </w:r>
      <w:proofErr w:type="spellEnd"/>
      <w:r w:rsidRPr="00804DEA">
        <w:rPr>
          <w:rFonts w:ascii="Times New Roman" w:hAnsi="Times New Roman"/>
          <w:sz w:val="26"/>
          <w:szCs w:val="26"/>
        </w:rPr>
        <w:t xml:space="preserve"> граждан, работников предпенсионного возраста; </w:t>
      </w:r>
    </w:p>
    <w:p w:rsidR="00804DEA" w:rsidRPr="00804DEA" w:rsidRDefault="00804DEA" w:rsidP="00804DEA">
      <w:pPr>
        <w:pStyle w:val="a7"/>
        <w:numPr>
          <w:ilvl w:val="0"/>
          <w:numId w:val="5"/>
        </w:numPr>
        <w:spacing w:line="240" w:lineRule="auto"/>
        <w:ind w:left="0" w:firstLine="709"/>
        <w:rPr>
          <w:rFonts w:ascii="Times New Roman" w:hAnsi="Times New Roman"/>
          <w:sz w:val="26"/>
          <w:szCs w:val="26"/>
        </w:rPr>
      </w:pPr>
      <w:r w:rsidRPr="00804DEA">
        <w:rPr>
          <w:rFonts w:ascii="Times New Roman" w:hAnsi="Times New Roman"/>
          <w:sz w:val="26"/>
          <w:szCs w:val="26"/>
        </w:rPr>
        <w:t xml:space="preserve">выплату стипендии незанятым гражданам предпенсионного возраста. </w:t>
      </w:r>
    </w:p>
    <w:p w:rsidR="00804DEA" w:rsidRPr="00804DEA" w:rsidRDefault="00804DEA" w:rsidP="00804DEA">
      <w:pPr>
        <w:ind w:firstLine="709"/>
        <w:jc w:val="both"/>
        <w:rPr>
          <w:sz w:val="26"/>
          <w:szCs w:val="26"/>
        </w:rPr>
      </w:pPr>
      <w:r w:rsidRPr="00804DEA">
        <w:rPr>
          <w:sz w:val="26"/>
          <w:szCs w:val="26"/>
        </w:rPr>
        <w:t xml:space="preserve">Дополнительно из бюджета автономного округа выделены средства на компенсацию расходов, связанных </w:t>
      </w:r>
      <w:proofErr w:type="gramStart"/>
      <w:r w:rsidRPr="00804DEA">
        <w:rPr>
          <w:sz w:val="26"/>
          <w:szCs w:val="26"/>
        </w:rPr>
        <w:t>с</w:t>
      </w:r>
      <w:proofErr w:type="gramEnd"/>
      <w:r w:rsidRPr="00804DEA">
        <w:rPr>
          <w:sz w:val="26"/>
          <w:szCs w:val="26"/>
        </w:rPr>
        <w:t xml:space="preserve">: </w:t>
      </w:r>
    </w:p>
    <w:p w:rsidR="00804DEA" w:rsidRPr="00804DEA" w:rsidRDefault="00804DEA" w:rsidP="00804DEA">
      <w:pPr>
        <w:pStyle w:val="a7"/>
        <w:numPr>
          <w:ilvl w:val="0"/>
          <w:numId w:val="6"/>
        </w:numPr>
        <w:spacing w:line="240" w:lineRule="auto"/>
        <w:ind w:left="0" w:firstLine="709"/>
        <w:rPr>
          <w:rFonts w:ascii="Times New Roman" w:hAnsi="Times New Roman"/>
          <w:sz w:val="26"/>
          <w:szCs w:val="26"/>
        </w:rPr>
      </w:pPr>
      <w:r w:rsidRPr="00804DEA">
        <w:rPr>
          <w:rFonts w:ascii="Times New Roman" w:hAnsi="Times New Roman"/>
          <w:sz w:val="26"/>
          <w:szCs w:val="26"/>
        </w:rPr>
        <w:t xml:space="preserve">направлением гражданина на </w:t>
      </w:r>
      <w:proofErr w:type="spellStart"/>
      <w:r w:rsidRPr="00804DEA">
        <w:rPr>
          <w:rFonts w:ascii="Times New Roman" w:hAnsi="Times New Roman"/>
          <w:sz w:val="26"/>
          <w:szCs w:val="26"/>
        </w:rPr>
        <w:t>профобучение</w:t>
      </w:r>
      <w:proofErr w:type="spellEnd"/>
      <w:r w:rsidRPr="00804DEA">
        <w:rPr>
          <w:rFonts w:ascii="Times New Roman" w:hAnsi="Times New Roman"/>
          <w:sz w:val="26"/>
          <w:szCs w:val="26"/>
        </w:rPr>
        <w:t xml:space="preserve"> в другую местность (проезд, проживание, суточные); </w:t>
      </w:r>
    </w:p>
    <w:p w:rsidR="00804DEA" w:rsidRPr="00804DEA" w:rsidRDefault="00804DEA" w:rsidP="00804DEA">
      <w:pPr>
        <w:pStyle w:val="a7"/>
        <w:numPr>
          <w:ilvl w:val="0"/>
          <w:numId w:val="6"/>
        </w:numPr>
        <w:spacing w:line="240" w:lineRule="auto"/>
        <w:ind w:left="0" w:firstLine="709"/>
        <w:rPr>
          <w:rFonts w:ascii="Times New Roman" w:hAnsi="Times New Roman"/>
          <w:sz w:val="26"/>
          <w:szCs w:val="26"/>
        </w:rPr>
      </w:pPr>
      <w:r w:rsidRPr="00804DEA">
        <w:rPr>
          <w:rFonts w:ascii="Times New Roman" w:hAnsi="Times New Roman"/>
          <w:sz w:val="26"/>
          <w:szCs w:val="26"/>
        </w:rPr>
        <w:t xml:space="preserve">оплатой за прохождение гражданами медицинского осмотра; </w:t>
      </w:r>
    </w:p>
    <w:p w:rsidR="00804DEA" w:rsidRPr="00804DEA" w:rsidRDefault="00804DEA" w:rsidP="00804DEA">
      <w:pPr>
        <w:pStyle w:val="a7"/>
        <w:numPr>
          <w:ilvl w:val="0"/>
          <w:numId w:val="6"/>
        </w:numPr>
        <w:spacing w:line="240" w:lineRule="auto"/>
        <w:ind w:left="0" w:firstLine="709"/>
        <w:rPr>
          <w:rFonts w:ascii="Times New Roman" w:hAnsi="Times New Roman"/>
          <w:sz w:val="26"/>
          <w:szCs w:val="26"/>
        </w:rPr>
      </w:pPr>
      <w:r w:rsidRPr="00804DEA">
        <w:rPr>
          <w:rFonts w:ascii="Times New Roman" w:hAnsi="Times New Roman"/>
          <w:sz w:val="26"/>
          <w:szCs w:val="26"/>
        </w:rPr>
        <w:t xml:space="preserve">оплатой услуг кредитных организаций по зачислению стипендии. </w:t>
      </w:r>
    </w:p>
    <w:p w:rsidR="00804DEA" w:rsidRPr="00804DEA" w:rsidRDefault="00804DEA" w:rsidP="00804DEA">
      <w:pPr>
        <w:ind w:firstLine="709"/>
        <w:jc w:val="both"/>
        <w:rPr>
          <w:sz w:val="26"/>
          <w:szCs w:val="26"/>
        </w:rPr>
      </w:pPr>
      <w:proofErr w:type="gramStart"/>
      <w:r w:rsidRPr="00804DEA">
        <w:rPr>
          <w:sz w:val="26"/>
          <w:szCs w:val="26"/>
        </w:rPr>
        <w:t>Участие в мероприятии могут принять граждане, в отношении которых имеются сведения об отнесении их к категории граждан предпенсионного возраста, из числа зарегистрированных в органах службы занятости в установленном порядке в целях поиска подходящей работы или работников предпенсионного возраста, желающих повысить компетентность в связи с меняющимися потребностями экономики (через работодателя), включая и работников индивидуальных предпринимателей, 4 глав крестьянского (фермерского) хозяйства, нотариусов</w:t>
      </w:r>
      <w:proofErr w:type="gramEnd"/>
      <w:r w:rsidRPr="00804DEA">
        <w:rPr>
          <w:sz w:val="26"/>
          <w:szCs w:val="26"/>
        </w:rPr>
        <w:t xml:space="preserve">, занимающихся частной практикой, адвокатов, учредивших адвокатский кабинет). </w:t>
      </w:r>
    </w:p>
    <w:p w:rsidR="00804DEA" w:rsidRPr="00804DEA" w:rsidRDefault="00804DEA" w:rsidP="00804DEA">
      <w:pPr>
        <w:ind w:firstLine="709"/>
        <w:jc w:val="both"/>
        <w:rPr>
          <w:sz w:val="26"/>
          <w:szCs w:val="26"/>
        </w:rPr>
      </w:pPr>
      <w:r w:rsidRPr="00804DEA">
        <w:rPr>
          <w:sz w:val="26"/>
          <w:szCs w:val="26"/>
        </w:rPr>
        <w:t xml:space="preserve">Категория «гражданин предпенсионного возраста» (в течение пяти лет до наступления возраста, дающего право на страховую пенсию по старости, в том числе назначаемую досрочно) должна быть официально подтверждена отделением Пенсионного Фонда Российской Федерации. </w:t>
      </w:r>
    </w:p>
    <w:p w:rsidR="00804DEA" w:rsidRPr="00804DEA" w:rsidRDefault="00804DEA" w:rsidP="00804DEA">
      <w:pPr>
        <w:ind w:firstLine="709"/>
        <w:jc w:val="both"/>
        <w:rPr>
          <w:sz w:val="26"/>
          <w:szCs w:val="26"/>
        </w:rPr>
      </w:pPr>
      <w:r w:rsidRPr="00804DEA">
        <w:rPr>
          <w:sz w:val="26"/>
          <w:szCs w:val="26"/>
        </w:rPr>
        <w:t xml:space="preserve">Обучение граждан предпенсионного возраста организуется: </w:t>
      </w:r>
    </w:p>
    <w:p w:rsidR="00804DEA" w:rsidRPr="00804DEA" w:rsidRDefault="00804DEA" w:rsidP="00804DEA">
      <w:pPr>
        <w:pStyle w:val="a7"/>
        <w:numPr>
          <w:ilvl w:val="0"/>
          <w:numId w:val="7"/>
        </w:numPr>
        <w:spacing w:line="240" w:lineRule="auto"/>
        <w:ind w:left="0" w:firstLine="709"/>
        <w:rPr>
          <w:rFonts w:ascii="Times New Roman" w:hAnsi="Times New Roman"/>
          <w:sz w:val="26"/>
          <w:szCs w:val="26"/>
        </w:rPr>
      </w:pPr>
      <w:r w:rsidRPr="00804DEA">
        <w:rPr>
          <w:rFonts w:ascii="Times New Roman" w:hAnsi="Times New Roman"/>
          <w:sz w:val="26"/>
          <w:szCs w:val="26"/>
        </w:rPr>
        <w:t xml:space="preserve">по профессиям (специальностям), востребованным на рынке труда автономного округа, или под гарантированное работодателем рабочее место; </w:t>
      </w:r>
    </w:p>
    <w:p w:rsidR="00804DEA" w:rsidRPr="00804DEA" w:rsidRDefault="00804DEA" w:rsidP="00804DEA">
      <w:pPr>
        <w:pStyle w:val="a7"/>
        <w:numPr>
          <w:ilvl w:val="0"/>
          <w:numId w:val="7"/>
        </w:numPr>
        <w:spacing w:line="240" w:lineRule="auto"/>
        <w:ind w:left="0" w:firstLine="709"/>
        <w:rPr>
          <w:rFonts w:ascii="Times New Roman" w:hAnsi="Times New Roman"/>
          <w:sz w:val="26"/>
          <w:szCs w:val="26"/>
        </w:rPr>
      </w:pPr>
      <w:r w:rsidRPr="00804DEA">
        <w:rPr>
          <w:rFonts w:ascii="Times New Roman" w:hAnsi="Times New Roman"/>
          <w:sz w:val="26"/>
          <w:szCs w:val="26"/>
        </w:rPr>
        <w:t xml:space="preserve">по заочной, очной, очно-заочной формам обучения, в том числе с применением дистанционных образовательных технологий, на базе организаций, осуществляющих образовательную деятельность, имеющих лицензии на </w:t>
      </w:r>
      <w:proofErr w:type="gramStart"/>
      <w:r w:rsidRPr="00804DEA">
        <w:rPr>
          <w:rFonts w:ascii="Times New Roman" w:hAnsi="Times New Roman"/>
          <w:sz w:val="26"/>
          <w:szCs w:val="26"/>
        </w:rPr>
        <w:t>право ведения</w:t>
      </w:r>
      <w:proofErr w:type="gramEnd"/>
      <w:r w:rsidRPr="00804DEA">
        <w:rPr>
          <w:rFonts w:ascii="Times New Roman" w:hAnsi="Times New Roman"/>
          <w:sz w:val="26"/>
          <w:szCs w:val="26"/>
        </w:rPr>
        <w:t xml:space="preserve"> образовательной деятельности. Работодатель при наличии лицензии на </w:t>
      </w:r>
      <w:r w:rsidRPr="00804DEA">
        <w:rPr>
          <w:rFonts w:ascii="Times New Roman" w:hAnsi="Times New Roman"/>
          <w:sz w:val="26"/>
          <w:szCs w:val="26"/>
        </w:rPr>
        <w:lastRenderedPageBreak/>
        <w:t xml:space="preserve">осуществление образовательной деятельности может самостоятельно организовать обучение в своем специализированном структурном образовательном подразделении. </w:t>
      </w:r>
    </w:p>
    <w:p w:rsidR="00804DEA" w:rsidRPr="00804DEA" w:rsidRDefault="00804DEA" w:rsidP="00804DEA">
      <w:pPr>
        <w:ind w:firstLine="708"/>
        <w:jc w:val="both"/>
        <w:rPr>
          <w:sz w:val="26"/>
          <w:szCs w:val="26"/>
        </w:rPr>
      </w:pPr>
      <w:r w:rsidRPr="00804DEA">
        <w:rPr>
          <w:sz w:val="26"/>
          <w:szCs w:val="26"/>
        </w:rPr>
        <w:t xml:space="preserve">Продолжительность </w:t>
      </w:r>
      <w:proofErr w:type="spellStart"/>
      <w:r w:rsidRPr="00804DEA">
        <w:rPr>
          <w:sz w:val="26"/>
          <w:szCs w:val="26"/>
        </w:rPr>
        <w:t>профобучения</w:t>
      </w:r>
      <w:proofErr w:type="spellEnd"/>
      <w:r w:rsidRPr="00804DEA">
        <w:rPr>
          <w:sz w:val="26"/>
          <w:szCs w:val="26"/>
        </w:rPr>
        <w:t xml:space="preserve"> работников устанавливается профессиональными образовательными программами, не может превышать трех месяцев (от 16 до 500 часов). </w:t>
      </w:r>
    </w:p>
    <w:p w:rsidR="00804DEA" w:rsidRPr="00804DEA" w:rsidRDefault="00804DEA" w:rsidP="00804DEA">
      <w:pPr>
        <w:ind w:firstLine="708"/>
        <w:jc w:val="both"/>
        <w:rPr>
          <w:sz w:val="26"/>
          <w:szCs w:val="26"/>
        </w:rPr>
      </w:pPr>
      <w:r w:rsidRPr="00804DEA">
        <w:rPr>
          <w:sz w:val="26"/>
          <w:szCs w:val="26"/>
        </w:rPr>
        <w:t xml:space="preserve">Обучение должно быть завершено до наступления возраста, дающего право на страховую пенсию по старости, в том числе назначенную досрочно. </w:t>
      </w:r>
    </w:p>
    <w:p w:rsidR="00804DEA" w:rsidRPr="00804DEA" w:rsidRDefault="00804DEA" w:rsidP="00804DEA">
      <w:pPr>
        <w:ind w:firstLine="708"/>
        <w:jc w:val="both"/>
        <w:rPr>
          <w:sz w:val="26"/>
          <w:szCs w:val="26"/>
        </w:rPr>
      </w:pPr>
      <w:r w:rsidRPr="00804DEA">
        <w:rPr>
          <w:sz w:val="26"/>
          <w:szCs w:val="26"/>
        </w:rPr>
        <w:t xml:space="preserve">Стоимость </w:t>
      </w:r>
      <w:proofErr w:type="spellStart"/>
      <w:r w:rsidRPr="00804DEA">
        <w:rPr>
          <w:sz w:val="26"/>
          <w:szCs w:val="26"/>
        </w:rPr>
        <w:t>профобучения</w:t>
      </w:r>
      <w:proofErr w:type="spellEnd"/>
      <w:r w:rsidRPr="00804DEA">
        <w:rPr>
          <w:sz w:val="26"/>
          <w:szCs w:val="26"/>
        </w:rPr>
        <w:t xml:space="preserve"> одного гражданина за курс обучения - не более 68 500 рублей. </w:t>
      </w:r>
    </w:p>
    <w:p w:rsidR="00804DEA" w:rsidRPr="00804DEA" w:rsidRDefault="00804DEA" w:rsidP="00804DEA">
      <w:pPr>
        <w:ind w:firstLine="708"/>
        <w:jc w:val="both"/>
        <w:rPr>
          <w:sz w:val="26"/>
          <w:szCs w:val="26"/>
        </w:rPr>
      </w:pPr>
      <w:r w:rsidRPr="00804DEA">
        <w:rPr>
          <w:sz w:val="26"/>
          <w:szCs w:val="26"/>
        </w:rPr>
        <w:t xml:space="preserve">Работодатели при направлении на обучение работников предпенсионного возраста гарантируют им сохранение заработной платы и рабочего места (стипендия работникам не предусмотрена). </w:t>
      </w:r>
    </w:p>
    <w:p w:rsidR="00804DEA" w:rsidRPr="00804DEA" w:rsidRDefault="00804DEA" w:rsidP="00804DEA">
      <w:pPr>
        <w:ind w:firstLine="708"/>
        <w:jc w:val="both"/>
        <w:rPr>
          <w:sz w:val="26"/>
          <w:szCs w:val="26"/>
        </w:rPr>
      </w:pPr>
      <w:r w:rsidRPr="00804DEA">
        <w:rPr>
          <w:sz w:val="26"/>
          <w:szCs w:val="26"/>
        </w:rPr>
        <w:t xml:space="preserve">С Порядком организации </w:t>
      </w:r>
      <w:proofErr w:type="spellStart"/>
      <w:r w:rsidRPr="00804DEA">
        <w:rPr>
          <w:sz w:val="26"/>
          <w:szCs w:val="26"/>
        </w:rPr>
        <w:t>профобучения</w:t>
      </w:r>
      <w:proofErr w:type="spellEnd"/>
      <w:r w:rsidRPr="00804DEA">
        <w:rPr>
          <w:sz w:val="26"/>
          <w:szCs w:val="26"/>
        </w:rPr>
        <w:t xml:space="preserve"> граждан предпенсионного возраста и расходования бюджетных средств можно ознакомиться на официальном сайте Департамента труда и занятости автономного округа (www.deptrud.admhmao.ru) в разделе «Государственные программы», «Государственная программа Ханты-Мансийского автономного округа – Югры «Поддержка занятости населения». </w:t>
      </w:r>
    </w:p>
    <w:p w:rsidR="00804DEA" w:rsidRPr="00804DEA" w:rsidRDefault="00804DEA" w:rsidP="00804DEA">
      <w:pPr>
        <w:ind w:firstLine="708"/>
        <w:jc w:val="both"/>
        <w:rPr>
          <w:sz w:val="26"/>
          <w:szCs w:val="26"/>
        </w:rPr>
      </w:pPr>
      <w:r w:rsidRPr="00804DEA">
        <w:rPr>
          <w:sz w:val="26"/>
          <w:szCs w:val="26"/>
        </w:rPr>
        <w:t xml:space="preserve">Обязательное условие - категория «гражданин предпенсионного возраста» должна быть официально подтверждена Отделением Пенсионного Фонда Российской Федерации по автономному округу (по электронному запросу работодателя или самого работника через личный кабинет). Работодатель бесплатно обменивается этими данными с ПФР в электронном виде на основе Соглашения, бесплатную программу можно скачать на сайте ПФР. </w:t>
      </w:r>
    </w:p>
    <w:p w:rsidR="00804DEA" w:rsidRPr="00804DEA" w:rsidRDefault="00804DEA" w:rsidP="00804DEA">
      <w:pPr>
        <w:ind w:firstLine="708"/>
        <w:jc w:val="both"/>
        <w:rPr>
          <w:sz w:val="26"/>
          <w:szCs w:val="26"/>
        </w:rPr>
      </w:pPr>
      <w:r w:rsidRPr="00804DEA">
        <w:rPr>
          <w:sz w:val="26"/>
          <w:szCs w:val="26"/>
        </w:rPr>
        <w:t xml:space="preserve">Существует несколько механизмов организации обучения работников предпенсионного возраста бюджетной сферы (муниципального 5 или окружного уровня) и работников, состоящих в трудовых отношениях с работодателями коммерческого сектора. </w:t>
      </w:r>
    </w:p>
    <w:p w:rsidR="00804DEA" w:rsidRPr="00804DEA" w:rsidRDefault="00804DEA" w:rsidP="00804DEA">
      <w:pPr>
        <w:ind w:firstLine="708"/>
        <w:jc w:val="both"/>
        <w:rPr>
          <w:sz w:val="26"/>
          <w:szCs w:val="26"/>
        </w:rPr>
      </w:pPr>
      <w:r w:rsidRPr="00804DEA">
        <w:rPr>
          <w:i/>
          <w:sz w:val="26"/>
          <w:szCs w:val="26"/>
        </w:rPr>
        <w:t>Первый механизм обучения работников бюджетной сферы</w:t>
      </w:r>
      <w:r w:rsidRPr="00804DEA">
        <w:rPr>
          <w:sz w:val="26"/>
          <w:szCs w:val="26"/>
        </w:rPr>
        <w:t xml:space="preserve"> - обучение работников в образовательных организациях, подведомственных </w:t>
      </w:r>
      <w:proofErr w:type="spellStart"/>
      <w:r w:rsidRPr="00804DEA">
        <w:rPr>
          <w:sz w:val="26"/>
          <w:szCs w:val="26"/>
        </w:rPr>
        <w:t>Депобразования</w:t>
      </w:r>
      <w:proofErr w:type="spellEnd"/>
      <w:r w:rsidRPr="00804DEA">
        <w:rPr>
          <w:sz w:val="26"/>
          <w:szCs w:val="26"/>
        </w:rPr>
        <w:t xml:space="preserve"> и молодежи Югры. Для этого Учреждению необходимо представить в Центр занятости населения по месту осуществления его хозяйственной деятельности документы: з</w:t>
      </w:r>
    </w:p>
    <w:p w:rsidR="00804DEA" w:rsidRPr="00804DEA" w:rsidRDefault="00804DEA" w:rsidP="00804DEA">
      <w:pPr>
        <w:ind w:firstLine="708"/>
        <w:jc w:val="both"/>
        <w:rPr>
          <w:sz w:val="26"/>
          <w:szCs w:val="26"/>
        </w:rPr>
      </w:pPr>
      <w:proofErr w:type="spellStart"/>
      <w:r w:rsidRPr="00804DEA">
        <w:rPr>
          <w:sz w:val="26"/>
          <w:szCs w:val="26"/>
        </w:rPr>
        <w:t>аявление</w:t>
      </w:r>
      <w:proofErr w:type="spellEnd"/>
      <w:r w:rsidRPr="00804DEA">
        <w:rPr>
          <w:sz w:val="26"/>
          <w:szCs w:val="26"/>
        </w:rPr>
        <w:t xml:space="preserve">; </w:t>
      </w:r>
    </w:p>
    <w:p w:rsidR="00804DEA" w:rsidRPr="00804DEA" w:rsidRDefault="00804DEA" w:rsidP="00804DEA">
      <w:pPr>
        <w:ind w:firstLine="708"/>
        <w:jc w:val="both"/>
        <w:rPr>
          <w:sz w:val="26"/>
          <w:szCs w:val="26"/>
        </w:rPr>
      </w:pPr>
      <w:r w:rsidRPr="00804DEA">
        <w:rPr>
          <w:sz w:val="26"/>
          <w:szCs w:val="26"/>
        </w:rPr>
        <w:t>утвержденный список работников (с указанием ФИО, СНИЛС и даты рождения), отнесенных к категории лиц предпенсионного возраста на основании сведений Отделения Пенсионного фонда Российской Федерации по автономному округу;</w:t>
      </w:r>
    </w:p>
    <w:p w:rsidR="00804DEA" w:rsidRPr="00804DEA" w:rsidRDefault="00804DEA" w:rsidP="00804DEA">
      <w:pPr>
        <w:ind w:firstLine="708"/>
        <w:jc w:val="both"/>
        <w:rPr>
          <w:sz w:val="26"/>
          <w:szCs w:val="26"/>
        </w:rPr>
      </w:pPr>
      <w:r w:rsidRPr="00804DEA">
        <w:rPr>
          <w:sz w:val="26"/>
          <w:szCs w:val="26"/>
        </w:rPr>
        <w:t xml:space="preserve"> гарантийное обязательство о сохранении рабочего места работнику, направляемого на </w:t>
      </w:r>
      <w:proofErr w:type="spellStart"/>
      <w:r w:rsidRPr="00804DEA">
        <w:rPr>
          <w:sz w:val="26"/>
          <w:szCs w:val="26"/>
        </w:rPr>
        <w:t>профобучение</w:t>
      </w:r>
      <w:proofErr w:type="spellEnd"/>
      <w:r w:rsidRPr="00804DEA">
        <w:rPr>
          <w:sz w:val="26"/>
          <w:szCs w:val="26"/>
        </w:rPr>
        <w:t xml:space="preserve">; </w:t>
      </w:r>
    </w:p>
    <w:p w:rsidR="00804DEA" w:rsidRPr="00804DEA" w:rsidRDefault="00804DEA" w:rsidP="00804DEA">
      <w:pPr>
        <w:ind w:firstLine="708"/>
        <w:jc w:val="both"/>
        <w:rPr>
          <w:sz w:val="26"/>
          <w:szCs w:val="26"/>
        </w:rPr>
      </w:pPr>
      <w:r w:rsidRPr="00804DEA">
        <w:rPr>
          <w:sz w:val="26"/>
          <w:szCs w:val="26"/>
        </w:rPr>
        <w:t xml:space="preserve">документы, подтверждающие полномочия лица, действующего от имени учреждения (подлинник доверенности, приказ в случае обращения представителя работодателя). </w:t>
      </w:r>
    </w:p>
    <w:p w:rsidR="00804DEA" w:rsidRPr="00804DEA" w:rsidRDefault="00804DEA" w:rsidP="00804DEA">
      <w:pPr>
        <w:ind w:firstLine="708"/>
        <w:jc w:val="both"/>
        <w:rPr>
          <w:sz w:val="26"/>
          <w:szCs w:val="26"/>
        </w:rPr>
      </w:pPr>
      <w:r w:rsidRPr="00804DEA">
        <w:rPr>
          <w:sz w:val="26"/>
          <w:szCs w:val="26"/>
        </w:rPr>
        <w:t xml:space="preserve">До начала </w:t>
      </w:r>
      <w:proofErr w:type="spellStart"/>
      <w:r w:rsidRPr="00804DEA">
        <w:rPr>
          <w:sz w:val="26"/>
          <w:szCs w:val="26"/>
        </w:rPr>
        <w:t>профобучения</w:t>
      </w:r>
      <w:proofErr w:type="spellEnd"/>
      <w:r w:rsidRPr="00804DEA">
        <w:rPr>
          <w:sz w:val="26"/>
          <w:szCs w:val="26"/>
        </w:rPr>
        <w:t xml:space="preserve"> заключается трехсторонний договор между Центром занятости, Учреждением и образовательной организацией, подведомственной </w:t>
      </w:r>
      <w:proofErr w:type="spellStart"/>
      <w:r w:rsidRPr="00804DEA">
        <w:rPr>
          <w:sz w:val="26"/>
          <w:szCs w:val="26"/>
        </w:rPr>
        <w:t>Депобразования</w:t>
      </w:r>
      <w:proofErr w:type="spellEnd"/>
      <w:r w:rsidRPr="00804DEA">
        <w:rPr>
          <w:sz w:val="26"/>
          <w:szCs w:val="26"/>
        </w:rPr>
        <w:t xml:space="preserve"> и молодежи Югры. </w:t>
      </w:r>
    </w:p>
    <w:p w:rsidR="00804DEA" w:rsidRPr="00804DEA" w:rsidRDefault="00804DEA" w:rsidP="00804DEA">
      <w:pPr>
        <w:ind w:firstLine="708"/>
        <w:jc w:val="both"/>
        <w:rPr>
          <w:sz w:val="26"/>
          <w:szCs w:val="26"/>
        </w:rPr>
      </w:pPr>
      <w:r w:rsidRPr="00804DEA">
        <w:rPr>
          <w:sz w:val="26"/>
          <w:szCs w:val="26"/>
        </w:rPr>
        <w:t xml:space="preserve">После </w:t>
      </w:r>
      <w:proofErr w:type="spellStart"/>
      <w:r w:rsidRPr="00804DEA">
        <w:rPr>
          <w:sz w:val="26"/>
          <w:szCs w:val="26"/>
        </w:rPr>
        <w:t>профобучения</w:t>
      </w:r>
      <w:proofErr w:type="spellEnd"/>
      <w:r w:rsidRPr="00804DEA">
        <w:rPr>
          <w:sz w:val="26"/>
          <w:szCs w:val="26"/>
        </w:rPr>
        <w:t xml:space="preserve"> образовательная организация направляет отчет в Центр занятости и получает денежные средства за </w:t>
      </w:r>
      <w:proofErr w:type="spellStart"/>
      <w:r w:rsidRPr="00804DEA">
        <w:rPr>
          <w:sz w:val="26"/>
          <w:szCs w:val="26"/>
        </w:rPr>
        <w:t>профобучение</w:t>
      </w:r>
      <w:proofErr w:type="spellEnd"/>
      <w:r w:rsidRPr="00804DEA">
        <w:rPr>
          <w:sz w:val="26"/>
          <w:szCs w:val="26"/>
        </w:rPr>
        <w:t xml:space="preserve"> работников. </w:t>
      </w:r>
    </w:p>
    <w:p w:rsidR="00804DEA" w:rsidRPr="00804DEA" w:rsidRDefault="00804DEA" w:rsidP="00804DEA">
      <w:pPr>
        <w:ind w:firstLine="708"/>
        <w:jc w:val="both"/>
        <w:rPr>
          <w:sz w:val="26"/>
          <w:szCs w:val="26"/>
        </w:rPr>
      </w:pPr>
      <w:r w:rsidRPr="00804DEA">
        <w:rPr>
          <w:i/>
          <w:sz w:val="26"/>
          <w:szCs w:val="26"/>
        </w:rPr>
        <w:lastRenderedPageBreak/>
        <w:t>Второй механизм обучения работников бюджетной сферы</w:t>
      </w:r>
      <w:r w:rsidRPr="00804DEA">
        <w:rPr>
          <w:sz w:val="26"/>
          <w:szCs w:val="26"/>
        </w:rPr>
        <w:t xml:space="preserve"> - при отсутствии возможности </w:t>
      </w:r>
      <w:proofErr w:type="gramStart"/>
      <w:r w:rsidRPr="00804DEA">
        <w:rPr>
          <w:sz w:val="26"/>
          <w:szCs w:val="26"/>
        </w:rPr>
        <w:t>обучения работников по профессиям</w:t>
      </w:r>
      <w:proofErr w:type="gramEnd"/>
      <w:r w:rsidRPr="00804DEA">
        <w:rPr>
          <w:sz w:val="26"/>
          <w:szCs w:val="26"/>
        </w:rPr>
        <w:t xml:space="preserve"> (специальностям) в образовательных организациях, подведомственных </w:t>
      </w:r>
      <w:proofErr w:type="spellStart"/>
      <w:r w:rsidRPr="00804DEA">
        <w:rPr>
          <w:sz w:val="26"/>
          <w:szCs w:val="26"/>
        </w:rPr>
        <w:t>Депобразования</w:t>
      </w:r>
      <w:proofErr w:type="spellEnd"/>
      <w:r w:rsidRPr="00804DEA">
        <w:rPr>
          <w:sz w:val="26"/>
          <w:szCs w:val="26"/>
        </w:rPr>
        <w:t xml:space="preserve"> и молодежи Югры, центры занятости проводят отбор организаций, осуществляющих образовательную деятельность, в соответствии с законом 44-ФЗ «О контрактной системе в сфере закупок товаров, работ, услуг для обеспечения государственных и муниципальных нужд». </w:t>
      </w:r>
    </w:p>
    <w:p w:rsidR="00804DEA" w:rsidRPr="00804DEA" w:rsidRDefault="00804DEA" w:rsidP="00804DEA">
      <w:pPr>
        <w:ind w:firstLine="708"/>
        <w:jc w:val="both"/>
        <w:rPr>
          <w:sz w:val="26"/>
          <w:szCs w:val="26"/>
        </w:rPr>
      </w:pPr>
      <w:r w:rsidRPr="00804DEA">
        <w:rPr>
          <w:i/>
          <w:sz w:val="26"/>
          <w:szCs w:val="26"/>
        </w:rPr>
        <w:t>Третий механизм</w:t>
      </w:r>
      <w:r w:rsidRPr="00804DEA">
        <w:rPr>
          <w:sz w:val="26"/>
          <w:szCs w:val="26"/>
        </w:rPr>
        <w:t xml:space="preserve"> – для обучения работников предпенсионного возраста по направлению работодателей коммерческого сектора: </w:t>
      </w:r>
    </w:p>
    <w:p w:rsidR="00804DEA" w:rsidRPr="00804DEA" w:rsidRDefault="00804DEA" w:rsidP="00804DEA">
      <w:pPr>
        <w:ind w:firstLine="708"/>
        <w:jc w:val="both"/>
        <w:rPr>
          <w:sz w:val="26"/>
          <w:szCs w:val="26"/>
        </w:rPr>
      </w:pPr>
      <w:r w:rsidRPr="00804DEA">
        <w:rPr>
          <w:sz w:val="26"/>
          <w:szCs w:val="26"/>
        </w:rPr>
        <w:t>в целях развития профессиональных навыков работников предпенсионного возраста работодатель обращается в центр занятости для заключения договора об организации соответствующего обучения своих работников. Такой работодатель при наличии лицензии на осуществление образовательной деятельности самостоятельно организует обучение в своем специализированном структурном образовательном подразделении либо заключает самостоятельно соответствующий договор с образовательной организа</w:t>
      </w:r>
      <w:r w:rsidRPr="00804DEA">
        <w:rPr>
          <w:sz w:val="26"/>
          <w:szCs w:val="26"/>
        </w:rPr>
        <w:t xml:space="preserve">цией, участвующей в Программе. </w:t>
      </w:r>
      <w:r w:rsidRPr="00804DEA">
        <w:rPr>
          <w:sz w:val="26"/>
          <w:szCs w:val="26"/>
        </w:rPr>
        <w:t xml:space="preserve"> </w:t>
      </w:r>
    </w:p>
    <w:p w:rsidR="00223D81" w:rsidRPr="00804DEA" w:rsidRDefault="00804DEA" w:rsidP="00804DEA">
      <w:pPr>
        <w:ind w:firstLine="708"/>
        <w:jc w:val="both"/>
        <w:rPr>
          <w:sz w:val="26"/>
          <w:szCs w:val="26"/>
        </w:rPr>
      </w:pPr>
      <w:r w:rsidRPr="00804DEA">
        <w:rPr>
          <w:sz w:val="26"/>
          <w:szCs w:val="26"/>
        </w:rPr>
        <w:t>В данном механизме расходы на обучение работников предпенсионного возраста будут компенсироваться работодателю из средств, предусмотренных на реализацию мероприятия, при условии, что обучение будет проведено полностью, и работники сохранят занятость. Факт сохранения занятости таких работников будет отслеживаться органами службы занятости, и может быть проверен при проведении проверки целевого использования бюджетных средств уполномоченными органами.</w:t>
      </w:r>
    </w:p>
    <w:sectPr w:rsidR="00223D81" w:rsidRPr="00804D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F38AC"/>
    <w:multiLevelType w:val="hybridMultilevel"/>
    <w:tmpl w:val="DC6CA328"/>
    <w:lvl w:ilvl="0" w:tplc="77ACA56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14606D17"/>
    <w:multiLevelType w:val="multilevel"/>
    <w:tmpl w:val="A7CE15F8"/>
    <w:lvl w:ilvl="0">
      <w:start w:val="1"/>
      <w:numFmt w:val="decimal"/>
      <w:pStyle w:val="H1App"/>
      <w:lvlText w:val="%1."/>
      <w:lvlJc w:val="left"/>
      <w:pPr>
        <w:tabs>
          <w:tab w:val="num" w:pos="1681"/>
        </w:tabs>
        <w:ind w:left="490" w:firstLine="709"/>
      </w:pPr>
      <w:rPr>
        <w:rFonts w:hint="default"/>
        <w:b w:val="0"/>
        <w:i w:val="0"/>
      </w:rPr>
    </w:lvl>
    <w:lvl w:ilvl="1">
      <w:start w:val="1"/>
      <w:numFmt w:val="decimal"/>
      <w:pStyle w:val="a"/>
      <w:lvlText w:val="%1.%2."/>
      <w:lvlJc w:val="left"/>
      <w:pPr>
        <w:tabs>
          <w:tab w:val="num" w:pos="1304"/>
        </w:tabs>
        <w:ind w:left="0" w:firstLine="709"/>
      </w:pPr>
      <w:rPr>
        <w:rFonts w:hint="default"/>
      </w:rPr>
    </w:lvl>
    <w:lvl w:ilvl="2">
      <w:start w:val="1"/>
      <w:numFmt w:val="decimal"/>
      <w:lvlText w:val="%1.%2.%3."/>
      <w:lvlJc w:val="left"/>
      <w:pPr>
        <w:tabs>
          <w:tab w:val="num" w:pos="1361"/>
        </w:tabs>
        <w:ind w:left="0" w:firstLine="709"/>
      </w:pPr>
      <w:rPr>
        <w:rFonts w:hint="default"/>
      </w:rPr>
    </w:lvl>
    <w:lvl w:ilvl="3">
      <w:start w:val="1"/>
      <w:numFmt w:val="decimal"/>
      <w:lvlText w:val="%1.%2.%3.%4."/>
      <w:lvlJc w:val="left"/>
      <w:pPr>
        <w:tabs>
          <w:tab w:val="num" w:pos="7655"/>
        </w:tabs>
        <w:ind w:left="6096" w:firstLine="709"/>
      </w:pPr>
      <w:rPr>
        <w:rFonts w:hint="default"/>
      </w:rPr>
    </w:lvl>
    <w:lvl w:ilvl="4">
      <w:start w:val="1"/>
      <w:numFmt w:val="decimal"/>
      <w:lvlText w:val="%1.%2.%3.%4.%5."/>
      <w:lvlJc w:val="left"/>
      <w:pPr>
        <w:tabs>
          <w:tab w:val="num" w:pos="7619"/>
        </w:tabs>
        <w:ind w:left="7619" w:hanging="792"/>
      </w:pPr>
      <w:rPr>
        <w:rFonts w:hint="default"/>
      </w:rPr>
    </w:lvl>
    <w:lvl w:ilvl="5">
      <w:start w:val="1"/>
      <w:numFmt w:val="decimal"/>
      <w:lvlText w:val="%1.%2.%3.%4.%5.%6."/>
      <w:lvlJc w:val="left"/>
      <w:pPr>
        <w:tabs>
          <w:tab w:val="num" w:pos="8123"/>
        </w:tabs>
        <w:ind w:left="8123" w:hanging="936"/>
      </w:pPr>
      <w:rPr>
        <w:rFonts w:hint="default"/>
      </w:rPr>
    </w:lvl>
    <w:lvl w:ilvl="6">
      <w:start w:val="1"/>
      <w:numFmt w:val="decimal"/>
      <w:lvlText w:val="%1.%2.%3.%4.%5.%6.%7."/>
      <w:lvlJc w:val="left"/>
      <w:pPr>
        <w:tabs>
          <w:tab w:val="num" w:pos="8627"/>
        </w:tabs>
        <w:ind w:left="8627" w:hanging="1080"/>
      </w:pPr>
      <w:rPr>
        <w:rFonts w:hint="default"/>
      </w:rPr>
    </w:lvl>
    <w:lvl w:ilvl="7">
      <w:start w:val="1"/>
      <w:numFmt w:val="decimal"/>
      <w:lvlText w:val="%1.%2.%3.%4.%5.%6.%7.%8."/>
      <w:lvlJc w:val="left"/>
      <w:pPr>
        <w:tabs>
          <w:tab w:val="num" w:pos="9131"/>
        </w:tabs>
        <w:ind w:left="9131" w:hanging="1224"/>
      </w:pPr>
      <w:rPr>
        <w:rFonts w:hint="default"/>
      </w:rPr>
    </w:lvl>
    <w:lvl w:ilvl="8">
      <w:start w:val="1"/>
      <w:numFmt w:val="decimal"/>
      <w:lvlText w:val="%1.%2.%3.%4.%5.%6.%7.%8.%9."/>
      <w:lvlJc w:val="left"/>
      <w:pPr>
        <w:tabs>
          <w:tab w:val="num" w:pos="9707"/>
        </w:tabs>
        <w:ind w:left="9707" w:hanging="1440"/>
      </w:pPr>
      <w:rPr>
        <w:rFonts w:hint="default"/>
      </w:rPr>
    </w:lvl>
  </w:abstractNum>
  <w:abstractNum w:abstractNumId="2">
    <w:nsid w:val="19FF11F2"/>
    <w:multiLevelType w:val="hybridMultilevel"/>
    <w:tmpl w:val="37D8D09A"/>
    <w:lvl w:ilvl="0" w:tplc="77ACA56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5041038C"/>
    <w:multiLevelType w:val="hybridMultilevel"/>
    <w:tmpl w:val="5300BA40"/>
    <w:lvl w:ilvl="0" w:tplc="77ACA56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DEA"/>
    <w:rsid w:val="00223D81"/>
    <w:rsid w:val="00777B8C"/>
    <w:rsid w:val="00804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77B8C"/>
    <w:rPr>
      <w:sz w:val="24"/>
      <w:szCs w:val="24"/>
    </w:rPr>
  </w:style>
  <w:style w:type="paragraph" w:styleId="1">
    <w:name w:val="heading 1"/>
    <w:aliases w:val="H1,Заголов,Заголовок 1 Знак1,Заголовок 1 Знак Знак,1,h1,app heading 1,ITT t1,II+,I,H11,H12,H13,H14,H15,H16,H17,H18,H111,H121,H131,H141,H151,H161,H171,H19,H112,H122,H132,H142,H152,H162,H172,H181,H1111,H1211,H1311,H1411,H1511,H1611,H1711,H110"/>
    <w:basedOn w:val="a0"/>
    <w:next w:val="a0"/>
    <w:link w:val="10"/>
    <w:qFormat/>
    <w:rsid w:val="00777B8C"/>
    <w:pPr>
      <w:keepNext/>
      <w:spacing w:before="240" w:after="60"/>
      <w:outlineLvl w:val="0"/>
    </w:pPr>
    <w:rPr>
      <w:rFonts w:ascii="Arial" w:eastAsiaTheme="majorEastAsia" w:hAnsi="Arial" w:cs="Arial"/>
      <w:b/>
      <w:bCs/>
      <w:kern w:val="32"/>
      <w:sz w:val="36"/>
      <w:szCs w:val="36"/>
    </w:rPr>
  </w:style>
  <w:style w:type="paragraph" w:styleId="2">
    <w:name w:val="heading 2"/>
    <w:aliases w:val="heading 2,Heading 2 Hidden,Раздел"/>
    <w:basedOn w:val="a0"/>
    <w:next w:val="a0"/>
    <w:link w:val="20"/>
    <w:qFormat/>
    <w:rsid w:val="00777B8C"/>
    <w:pPr>
      <w:keepNext/>
      <w:spacing w:before="240" w:after="120"/>
      <w:outlineLvl w:val="1"/>
    </w:pPr>
    <w:rPr>
      <w:rFonts w:ascii="Arial" w:hAnsi="Arial" w:cs="Arial"/>
      <w:b/>
      <w:bCs/>
      <w:sz w:val="32"/>
      <w:szCs w:val="32"/>
    </w:rPr>
  </w:style>
  <w:style w:type="paragraph" w:styleId="3">
    <w:name w:val="heading 3"/>
    <w:aliases w:val="Заголовок 3 Знак1 Знак,Заголовок 3 Знак Знак Знак,Заголовок 3 Знак Знак1 Знак Знак Знак Знак,Заголовок 3 Знак Знак Знак Знак Знак Знак Знак Знак,Заголовок 3 Знак Знак1 Знак Знак Знак Знак Знак Знак Знак Знак Знак,H3"/>
    <w:basedOn w:val="a0"/>
    <w:next w:val="a0"/>
    <w:link w:val="30"/>
    <w:qFormat/>
    <w:rsid w:val="00777B8C"/>
    <w:pPr>
      <w:keepNext/>
      <w:spacing w:before="240" w:after="60"/>
      <w:ind w:left="851" w:hanging="851"/>
      <w:outlineLvl w:val="2"/>
    </w:pPr>
    <w:rPr>
      <w:rFonts w:ascii="Arial" w:hAnsi="Arial" w:cs="Arial"/>
      <w:b/>
      <w:bCs/>
      <w:sz w:val="28"/>
      <w:szCs w:val="28"/>
    </w:rPr>
  </w:style>
  <w:style w:type="paragraph" w:styleId="4">
    <w:name w:val="heading 4"/>
    <w:aliases w:val="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Заголовок 4 Знак Знак Знак Знак Знак Знак Знак,H4"/>
    <w:basedOn w:val="a0"/>
    <w:next w:val="a0"/>
    <w:link w:val="40"/>
    <w:qFormat/>
    <w:rsid w:val="00777B8C"/>
    <w:pPr>
      <w:keepNext/>
      <w:spacing w:before="240" w:after="60"/>
      <w:ind w:left="851" w:hanging="851"/>
      <w:outlineLvl w:val="3"/>
    </w:pPr>
    <w:rPr>
      <w:rFonts w:ascii="Arial" w:hAnsi="Arial" w:cs="Arial"/>
      <w:b/>
      <w:bCs/>
    </w:rPr>
  </w:style>
  <w:style w:type="paragraph" w:styleId="5">
    <w:name w:val="heading 5"/>
    <w:basedOn w:val="a0"/>
    <w:link w:val="50"/>
    <w:qFormat/>
    <w:rsid w:val="00777B8C"/>
    <w:pPr>
      <w:tabs>
        <w:tab w:val="num" w:pos="2426"/>
      </w:tabs>
      <w:spacing w:before="100" w:beforeAutospacing="1" w:after="100" w:afterAutospacing="1"/>
      <w:ind w:left="2426" w:hanging="1008"/>
      <w:outlineLvl w:val="4"/>
    </w:pPr>
    <w:rPr>
      <w:rFonts w:eastAsia="SimSun"/>
      <w:b/>
      <w:bCs/>
      <w:sz w:val="20"/>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w:basedOn w:val="a0"/>
    <w:qFormat/>
    <w:rsid w:val="00777B8C"/>
    <w:pPr>
      <w:spacing w:after="160" w:line="240" w:lineRule="exact"/>
      <w:jc w:val="both"/>
    </w:pPr>
    <w:rPr>
      <w:szCs w:val="20"/>
      <w:lang w:val="en-US"/>
    </w:rPr>
  </w:style>
  <w:style w:type="paragraph" w:customStyle="1" w:styleId="-31">
    <w:name w:val="Цветная заливка - Акцент 31"/>
    <w:basedOn w:val="a0"/>
    <w:uiPriority w:val="34"/>
    <w:qFormat/>
    <w:rsid w:val="00777B8C"/>
    <w:pPr>
      <w:spacing w:line="276" w:lineRule="auto"/>
      <w:ind w:left="720" w:firstLine="709"/>
      <w:contextualSpacing/>
      <w:jc w:val="both"/>
    </w:pPr>
    <w:rPr>
      <w:rFonts w:ascii="Calibri" w:hAnsi="Calibri"/>
      <w:sz w:val="22"/>
      <w:szCs w:val="22"/>
    </w:rPr>
  </w:style>
  <w:style w:type="paragraph" w:customStyle="1" w:styleId="a">
    <w:name w:val="_Нумерация абзацев"/>
    <w:basedOn w:val="a0"/>
    <w:qFormat/>
    <w:rsid w:val="00777B8C"/>
    <w:pPr>
      <w:numPr>
        <w:ilvl w:val="1"/>
        <w:numId w:val="4"/>
      </w:numPr>
      <w:spacing w:before="120" w:line="360" w:lineRule="auto"/>
      <w:jc w:val="both"/>
    </w:pPr>
  </w:style>
  <w:style w:type="paragraph" w:customStyle="1" w:styleId="H1App">
    <w:name w:val="H1_App"/>
    <w:basedOn w:val="1"/>
    <w:qFormat/>
    <w:rsid w:val="00777B8C"/>
    <w:pPr>
      <w:numPr>
        <w:numId w:val="4"/>
      </w:numPr>
      <w:spacing w:before="100" w:beforeAutospacing="1" w:after="0" w:line="360" w:lineRule="auto"/>
      <w:jc w:val="both"/>
    </w:pPr>
    <w:rPr>
      <w:rFonts w:ascii="Times New Roman" w:eastAsia="Times New Roman" w:hAnsi="Times New Roman" w:cs="Times New Roman"/>
      <w:bCs w:val="0"/>
      <w:kern w:val="0"/>
      <w:sz w:val="24"/>
      <w:szCs w:val="24"/>
    </w:rPr>
  </w:style>
  <w:style w:type="character" w:customStyle="1" w:styleId="10">
    <w:name w:val="Заголовок 1 Знак"/>
    <w:aliases w:val="H1 Знак,Заголов Знак,Заголовок 1 Знак1 Знак,Заголовок 1 Знак Знак Знак,1 Знак,h1 Знак,app heading 1 Знак,ITT t1 Знак,II+ Знак,I Знак,H11 Знак,H12 Знак,H13 Знак,H14 Знак,H15 Знак,H16 Знак,H17 Знак,H18 Знак,H111 Знак,H121 Знак,H131 Знак"/>
    <w:basedOn w:val="a1"/>
    <w:link w:val="1"/>
    <w:rsid w:val="00777B8C"/>
    <w:rPr>
      <w:rFonts w:ascii="Arial" w:eastAsiaTheme="majorEastAsia" w:hAnsi="Arial" w:cs="Arial"/>
      <w:b/>
      <w:bCs/>
      <w:kern w:val="32"/>
      <w:sz w:val="36"/>
      <w:szCs w:val="36"/>
    </w:rPr>
  </w:style>
  <w:style w:type="paragraph" w:customStyle="1" w:styleId="-11">
    <w:name w:val="Цветной список - Акцент 11"/>
    <w:basedOn w:val="a0"/>
    <w:link w:val="-1"/>
    <w:qFormat/>
    <w:rsid w:val="00777B8C"/>
    <w:pPr>
      <w:spacing w:line="276" w:lineRule="auto"/>
      <w:ind w:left="720" w:firstLine="709"/>
      <w:contextualSpacing/>
      <w:jc w:val="both"/>
    </w:pPr>
    <w:rPr>
      <w:rFonts w:ascii="Calibri" w:hAnsi="Calibri"/>
      <w:sz w:val="22"/>
      <w:szCs w:val="22"/>
    </w:rPr>
  </w:style>
  <w:style w:type="character" w:customStyle="1" w:styleId="-1">
    <w:name w:val="Цветной список - Акцент 1 Знак"/>
    <w:link w:val="-11"/>
    <w:locked/>
    <w:rsid w:val="00777B8C"/>
    <w:rPr>
      <w:rFonts w:ascii="Calibri" w:hAnsi="Calibri"/>
      <w:sz w:val="22"/>
      <w:szCs w:val="22"/>
    </w:rPr>
  </w:style>
  <w:style w:type="paragraph" w:customStyle="1" w:styleId="-12">
    <w:name w:val="Цветной список - Акцент 12"/>
    <w:basedOn w:val="a0"/>
    <w:uiPriority w:val="34"/>
    <w:qFormat/>
    <w:rsid w:val="00777B8C"/>
    <w:pPr>
      <w:spacing w:after="200" w:line="276" w:lineRule="auto"/>
      <w:ind w:left="720"/>
      <w:contextualSpacing/>
    </w:pPr>
    <w:rPr>
      <w:rFonts w:ascii="Calibri" w:eastAsia="MS Mincho" w:hAnsi="Calibri"/>
      <w:sz w:val="22"/>
      <w:szCs w:val="22"/>
    </w:rPr>
  </w:style>
  <w:style w:type="character" w:customStyle="1" w:styleId="20">
    <w:name w:val="Заголовок 2 Знак"/>
    <w:aliases w:val="heading 2 Знак,Heading 2 Hidden Знак,Раздел Знак"/>
    <w:basedOn w:val="a1"/>
    <w:link w:val="2"/>
    <w:rsid w:val="00777B8C"/>
    <w:rPr>
      <w:rFonts w:ascii="Arial" w:hAnsi="Arial" w:cs="Arial"/>
      <w:b/>
      <w:bCs/>
      <w:sz w:val="32"/>
      <w:szCs w:val="32"/>
    </w:rPr>
  </w:style>
  <w:style w:type="character" w:customStyle="1" w:styleId="30">
    <w:name w:val="Заголовок 3 Знак"/>
    <w:aliases w:val="Заголовок 3 Знак1 Знак Знак,Заголовок 3 Знак Знак Знак Знак,Заголовок 3 Знак Знак1 Знак Знак Знак Знак Знак,Заголовок 3 Знак Знак Знак Знак Знак Знак Знак Знак Знак,H3 Знак"/>
    <w:basedOn w:val="a1"/>
    <w:link w:val="3"/>
    <w:rsid w:val="00777B8C"/>
    <w:rPr>
      <w:rFonts w:ascii="Arial" w:hAnsi="Arial" w:cs="Arial"/>
      <w:b/>
      <w:bCs/>
      <w:sz w:val="28"/>
      <w:szCs w:val="28"/>
    </w:rPr>
  </w:style>
  <w:style w:type="character" w:customStyle="1" w:styleId="40">
    <w:name w:val="Заголовок 4 Знак"/>
    <w:aliases w:val="Заголовок 4 Знак1 Знак Знак,Заголовок 4 Знак Знак Знак Знак,Заголовок 4 Знак1 Знак Знак Знак Знак,Заголовок 4 Знак Знак Знак Знак Знак Знак,Заголовок 4 Знак1 Знак Знак Знак Знак Знак Знак,H4 Знак"/>
    <w:basedOn w:val="a1"/>
    <w:link w:val="4"/>
    <w:rsid w:val="00777B8C"/>
    <w:rPr>
      <w:rFonts w:ascii="Arial" w:hAnsi="Arial" w:cs="Arial"/>
      <w:b/>
      <w:bCs/>
      <w:sz w:val="24"/>
      <w:szCs w:val="24"/>
    </w:rPr>
  </w:style>
  <w:style w:type="character" w:customStyle="1" w:styleId="50">
    <w:name w:val="Заголовок 5 Знак"/>
    <w:link w:val="5"/>
    <w:rsid w:val="00777B8C"/>
    <w:rPr>
      <w:rFonts w:eastAsia="SimSun"/>
      <w:b/>
      <w:bCs/>
      <w:lang w:eastAsia="zh-CN"/>
    </w:rPr>
  </w:style>
  <w:style w:type="paragraph" w:styleId="a5">
    <w:name w:val="caption"/>
    <w:basedOn w:val="a0"/>
    <w:next w:val="a0"/>
    <w:qFormat/>
    <w:rsid w:val="00777B8C"/>
    <w:rPr>
      <w:b/>
      <w:bCs/>
      <w:sz w:val="20"/>
      <w:szCs w:val="20"/>
    </w:rPr>
  </w:style>
  <w:style w:type="paragraph" w:styleId="a6">
    <w:name w:val="No Spacing"/>
    <w:uiPriority w:val="1"/>
    <w:qFormat/>
    <w:rsid w:val="00777B8C"/>
    <w:pPr>
      <w:jc w:val="both"/>
    </w:pPr>
    <w:rPr>
      <w:rFonts w:eastAsiaTheme="minorHAnsi" w:cstheme="minorBidi"/>
      <w:sz w:val="28"/>
      <w:szCs w:val="22"/>
    </w:rPr>
  </w:style>
  <w:style w:type="paragraph" w:styleId="a7">
    <w:name w:val="List Paragraph"/>
    <w:aliases w:val="it_List1,Абзац списка литеральный,асз.Списка"/>
    <w:basedOn w:val="a0"/>
    <w:uiPriority w:val="34"/>
    <w:qFormat/>
    <w:rsid w:val="00777B8C"/>
    <w:pPr>
      <w:spacing w:line="276" w:lineRule="auto"/>
      <w:ind w:left="720"/>
      <w:contextualSpacing/>
      <w:jc w:val="both"/>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77B8C"/>
    <w:rPr>
      <w:sz w:val="24"/>
      <w:szCs w:val="24"/>
    </w:rPr>
  </w:style>
  <w:style w:type="paragraph" w:styleId="1">
    <w:name w:val="heading 1"/>
    <w:aliases w:val="H1,Заголов,Заголовок 1 Знак1,Заголовок 1 Знак Знак,1,h1,app heading 1,ITT t1,II+,I,H11,H12,H13,H14,H15,H16,H17,H18,H111,H121,H131,H141,H151,H161,H171,H19,H112,H122,H132,H142,H152,H162,H172,H181,H1111,H1211,H1311,H1411,H1511,H1611,H1711,H110"/>
    <w:basedOn w:val="a0"/>
    <w:next w:val="a0"/>
    <w:link w:val="10"/>
    <w:qFormat/>
    <w:rsid w:val="00777B8C"/>
    <w:pPr>
      <w:keepNext/>
      <w:spacing w:before="240" w:after="60"/>
      <w:outlineLvl w:val="0"/>
    </w:pPr>
    <w:rPr>
      <w:rFonts w:ascii="Arial" w:eastAsiaTheme="majorEastAsia" w:hAnsi="Arial" w:cs="Arial"/>
      <w:b/>
      <w:bCs/>
      <w:kern w:val="32"/>
      <w:sz w:val="36"/>
      <w:szCs w:val="36"/>
    </w:rPr>
  </w:style>
  <w:style w:type="paragraph" w:styleId="2">
    <w:name w:val="heading 2"/>
    <w:aliases w:val="heading 2,Heading 2 Hidden,Раздел"/>
    <w:basedOn w:val="a0"/>
    <w:next w:val="a0"/>
    <w:link w:val="20"/>
    <w:qFormat/>
    <w:rsid w:val="00777B8C"/>
    <w:pPr>
      <w:keepNext/>
      <w:spacing w:before="240" w:after="120"/>
      <w:outlineLvl w:val="1"/>
    </w:pPr>
    <w:rPr>
      <w:rFonts w:ascii="Arial" w:hAnsi="Arial" w:cs="Arial"/>
      <w:b/>
      <w:bCs/>
      <w:sz w:val="32"/>
      <w:szCs w:val="32"/>
    </w:rPr>
  </w:style>
  <w:style w:type="paragraph" w:styleId="3">
    <w:name w:val="heading 3"/>
    <w:aliases w:val="Заголовок 3 Знак1 Знак,Заголовок 3 Знак Знак Знак,Заголовок 3 Знак Знак1 Знак Знак Знак Знак,Заголовок 3 Знак Знак Знак Знак Знак Знак Знак Знак,Заголовок 3 Знак Знак1 Знак Знак Знак Знак Знак Знак Знак Знак Знак,H3"/>
    <w:basedOn w:val="a0"/>
    <w:next w:val="a0"/>
    <w:link w:val="30"/>
    <w:qFormat/>
    <w:rsid w:val="00777B8C"/>
    <w:pPr>
      <w:keepNext/>
      <w:spacing w:before="240" w:after="60"/>
      <w:ind w:left="851" w:hanging="851"/>
      <w:outlineLvl w:val="2"/>
    </w:pPr>
    <w:rPr>
      <w:rFonts w:ascii="Arial" w:hAnsi="Arial" w:cs="Arial"/>
      <w:b/>
      <w:bCs/>
      <w:sz w:val="28"/>
      <w:szCs w:val="28"/>
    </w:rPr>
  </w:style>
  <w:style w:type="paragraph" w:styleId="4">
    <w:name w:val="heading 4"/>
    <w:aliases w:val="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Заголовок 4 Знак Знак Знак Знак Знак Знак Знак,H4"/>
    <w:basedOn w:val="a0"/>
    <w:next w:val="a0"/>
    <w:link w:val="40"/>
    <w:qFormat/>
    <w:rsid w:val="00777B8C"/>
    <w:pPr>
      <w:keepNext/>
      <w:spacing w:before="240" w:after="60"/>
      <w:ind w:left="851" w:hanging="851"/>
      <w:outlineLvl w:val="3"/>
    </w:pPr>
    <w:rPr>
      <w:rFonts w:ascii="Arial" w:hAnsi="Arial" w:cs="Arial"/>
      <w:b/>
      <w:bCs/>
    </w:rPr>
  </w:style>
  <w:style w:type="paragraph" w:styleId="5">
    <w:name w:val="heading 5"/>
    <w:basedOn w:val="a0"/>
    <w:link w:val="50"/>
    <w:qFormat/>
    <w:rsid w:val="00777B8C"/>
    <w:pPr>
      <w:tabs>
        <w:tab w:val="num" w:pos="2426"/>
      </w:tabs>
      <w:spacing w:before="100" w:beforeAutospacing="1" w:after="100" w:afterAutospacing="1"/>
      <w:ind w:left="2426" w:hanging="1008"/>
      <w:outlineLvl w:val="4"/>
    </w:pPr>
    <w:rPr>
      <w:rFonts w:eastAsia="SimSun"/>
      <w:b/>
      <w:bCs/>
      <w:sz w:val="20"/>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w:basedOn w:val="a0"/>
    <w:qFormat/>
    <w:rsid w:val="00777B8C"/>
    <w:pPr>
      <w:spacing w:after="160" w:line="240" w:lineRule="exact"/>
      <w:jc w:val="both"/>
    </w:pPr>
    <w:rPr>
      <w:szCs w:val="20"/>
      <w:lang w:val="en-US"/>
    </w:rPr>
  </w:style>
  <w:style w:type="paragraph" w:customStyle="1" w:styleId="-31">
    <w:name w:val="Цветная заливка - Акцент 31"/>
    <w:basedOn w:val="a0"/>
    <w:uiPriority w:val="34"/>
    <w:qFormat/>
    <w:rsid w:val="00777B8C"/>
    <w:pPr>
      <w:spacing w:line="276" w:lineRule="auto"/>
      <w:ind w:left="720" w:firstLine="709"/>
      <w:contextualSpacing/>
      <w:jc w:val="both"/>
    </w:pPr>
    <w:rPr>
      <w:rFonts w:ascii="Calibri" w:hAnsi="Calibri"/>
      <w:sz w:val="22"/>
      <w:szCs w:val="22"/>
    </w:rPr>
  </w:style>
  <w:style w:type="paragraph" w:customStyle="1" w:styleId="a">
    <w:name w:val="_Нумерация абзацев"/>
    <w:basedOn w:val="a0"/>
    <w:qFormat/>
    <w:rsid w:val="00777B8C"/>
    <w:pPr>
      <w:numPr>
        <w:ilvl w:val="1"/>
        <w:numId w:val="4"/>
      </w:numPr>
      <w:spacing w:before="120" w:line="360" w:lineRule="auto"/>
      <w:jc w:val="both"/>
    </w:pPr>
  </w:style>
  <w:style w:type="paragraph" w:customStyle="1" w:styleId="H1App">
    <w:name w:val="H1_App"/>
    <w:basedOn w:val="1"/>
    <w:qFormat/>
    <w:rsid w:val="00777B8C"/>
    <w:pPr>
      <w:numPr>
        <w:numId w:val="4"/>
      </w:numPr>
      <w:spacing w:before="100" w:beforeAutospacing="1" w:after="0" w:line="360" w:lineRule="auto"/>
      <w:jc w:val="both"/>
    </w:pPr>
    <w:rPr>
      <w:rFonts w:ascii="Times New Roman" w:eastAsia="Times New Roman" w:hAnsi="Times New Roman" w:cs="Times New Roman"/>
      <w:bCs w:val="0"/>
      <w:kern w:val="0"/>
      <w:sz w:val="24"/>
      <w:szCs w:val="24"/>
    </w:rPr>
  </w:style>
  <w:style w:type="character" w:customStyle="1" w:styleId="10">
    <w:name w:val="Заголовок 1 Знак"/>
    <w:aliases w:val="H1 Знак,Заголов Знак,Заголовок 1 Знак1 Знак,Заголовок 1 Знак Знак Знак,1 Знак,h1 Знак,app heading 1 Знак,ITT t1 Знак,II+ Знак,I Знак,H11 Знак,H12 Знак,H13 Знак,H14 Знак,H15 Знак,H16 Знак,H17 Знак,H18 Знак,H111 Знак,H121 Знак,H131 Знак"/>
    <w:basedOn w:val="a1"/>
    <w:link w:val="1"/>
    <w:rsid w:val="00777B8C"/>
    <w:rPr>
      <w:rFonts w:ascii="Arial" w:eastAsiaTheme="majorEastAsia" w:hAnsi="Arial" w:cs="Arial"/>
      <w:b/>
      <w:bCs/>
      <w:kern w:val="32"/>
      <w:sz w:val="36"/>
      <w:szCs w:val="36"/>
    </w:rPr>
  </w:style>
  <w:style w:type="paragraph" w:customStyle="1" w:styleId="-11">
    <w:name w:val="Цветной список - Акцент 11"/>
    <w:basedOn w:val="a0"/>
    <w:link w:val="-1"/>
    <w:qFormat/>
    <w:rsid w:val="00777B8C"/>
    <w:pPr>
      <w:spacing w:line="276" w:lineRule="auto"/>
      <w:ind w:left="720" w:firstLine="709"/>
      <w:contextualSpacing/>
      <w:jc w:val="both"/>
    </w:pPr>
    <w:rPr>
      <w:rFonts w:ascii="Calibri" w:hAnsi="Calibri"/>
      <w:sz w:val="22"/>
      <w:szCs w:val="22"/>
    </w:rPr>
  </w:style>
  <w:style w:type="character" w:customStyle="1" w:styleId="-1">
    <w:name w:val="Цветной список - Акцент 1 Знак"/>
    <w:link w:val="-11"/>
    <w:locked/>
    <w:rsid w:val="00777B8C"/>
    <w:rPr>
      <w:rFonts w:ascii="Calibri" w:hAnsi="Calibri"/>
      <w:sz w:val="22"/>
      <w:szCs w:val="22"/>
    </w:rPr>
  </w:style>
  <w:style w:type="paragraph" w:customStyle="1" w:styleId="-12">
    <w:name w:val="Цветной список - Акцент 12"/>
    <w:basedOn w:val="a0"/>
    <w:uiPriority w:val="34"/>
    <w:qFormat/>
    <w:rsid w:val="00777B8C"/>
    <w:pPr>
      <w:spacing w:after="200" w:line="276" w:lineRule="auto"/>
      <w:ind w:left="720"/>
      <w:contextualSpacing/>
    </w:pPr>
    <w:rPr>
      <w:rFonts w:ascii="Calibri" w:eastAsia="MS Mincho" w:hAnsi="Calibri"/>
      <w:sz w:val="22"/>
      <w:szCs w:val="22"/>
    </w:rPr>
  </w:style>
  <w:style w:type="character" w:customStyle="1" w:styleId="20">
    <w:name w:val="Заголовок 2 Знак"/>
    <w:aliases w:val="heading 2 Знак,Heading 2 Hidden Знак,Раздел Знак"/>
    <w:basedOn w:val="a1"/>
    <w:link w:val="2"/>
    <w:rsid w:val="00777B8C"/>
    <w:rPr>
      <w:rFonts w:ascii="Arial" w:hAnsi="Arial" w:cs="Arial"/>
      <w:b/>
      <w:bCs/>
      <w:sz w:val="32"/>
      <w:szCs w:val="32"/>
    </w:rPr>
  </w:style>
  <w:style w:type="character" w:customStyle="1" w:styleId="30">
    <w:name w:val="Заголовок 3 Знак"/>
    <w:aliases w:val="Заголовок 3 Знак1 Знак Знак,Заголовок 3 Знак Знак Знак Знак,Заголовок 3 Знак Знак1 Знак Знак Знак Знак Знак,Заголовок 3 Знак Знак Знак Знак Знак Знак Знак Знак Знак,H3 Знак"/>
    <w:basedOn w:val="a1"/>
    <w:link w:val="3"/>
    <w:rsid w:val="00777B8C"/>
    <w:rPr>
      <w:rFonts w:ascii="Arial" w:hAnsi="Arial" w:cs="Arial"/>
      <w:b/>
      <w:bCs/>
      <w:sz w:val="28"/>
      <w:szCs w:val="28"/>
    </w:rPr>
  </w:style>
  <w:style w:type="character" w:customStyle="1" w:styleId="40">
    <w:name w:val="Заголовок 4 Знак"/>
    <w:aliases w:val="Заголовок 4 Знак1 Знак Знак,Заголовок 4 Знак Знак Знак Знак,Заголовок 4 Знак1 Знак Знак Знак Знак,Заголовок 4 Знак Знак Знак Знак Знак Знак,Заголовок 4 Знак1 Знак Знак Знак Знак Знак Знак,H4 Знак"/>
    <w:basedOn w:val="a1"/>
    <w:link w:val="4"/>
    <w:rsid w:val="00777B8C"/>
    <w:rPr>
      <w:rFonts w:ascii="Arial" w:hAnsi="Arial" w:cs="Arial"/>
      <w:b/>
      <w:bCs/>
      <w:sz w:val="24"/>
      <w:szCs w:val="24"/>
    </w:rPr>
  </w:style>
  <w:style w:type="character" w:customStyle="1" w:styleId="50">
    <w:name w:val="Заголовок 5 Знак"/>
    <w:link w:val="5"/>
    <w:rsid w:val="00777B8C"/>
    <w:rPr>
      <w:rFonts w:eastAsia="SimSun"/>
      <w:b/>
      <w:bCs/>
      <w:lang w:eastAsia="zh-CN"/>
    </w:rPr>
  </w:style>
  <w:style w:type="paragraph" w:styleId="a5">
    <w:name w:val="caption"/>
    <w:basedOn w:val="a0"/>
    <w:next w:val="a0"/>
    <w:qFormat/>
    <w:rsid w:val="00777B8C"/>
    <w:rPr>
      <w:b/>
      <w:bCs/>
      <w:sz w:val="20"/>
      <w:szCs w:val="20"/>
    </w:rPr>
  </w:style>
  <w:style w:type="paragraph" w:styleId="a6">
    <w:name w:val="No Spacing"/>
    <w:uiPriority w:val="1"/>
    <w:qFormat/>
    <w:rsid w:val="00777B8C"/>
    <w:pPr>
      <w:jc w:val="both"/>
    </w:pPr>
    <w:rPr>
      <w:rFonts w:eastAsiaTheme="minorHAnsi" w:cstheme="minorBidi"/>
      <w:sz w:val="28"/>
      <w:szCs w:val="22"/>
    </w:rPr>
  </w:style>
  <w:style w:type="paragraph" w:styleId="a7">
    <w:name w:val="List Paragraph"/>
    <w:aliases w:val="it_List1,Абзац списка литеральный,асз.Списка"/>
    <w:basedOn w:val="a0"/>
    <w:uiPriority w:val="34"/>
    <w:qFormat/>
    <w:rsid w:val="00777B8C"/>
    <w:pPr>
      <w:spacing w:line="276" w:lineRule="auto"/>
      <w:ind w:left="720"/>
      <w:contextualSpacing/>
      <w:jc w:val="both"/>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1088</Words>
  <Characters>6205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Аминева</dc:creator>
  <cp:lastModifiedBy>Ольга Аминева</cp:lastModifiedBy>
  <cp:revision>1</cp:revision>
  <dcterms:created xsi:type="dcterms:W3CDTF">2019-08-14T04:40:00Z</dcterms:created>
  <dcterms:modified xsi:type="dcterms:W3CDTF">2019-08-14T04:49:00Z</dcterms:modified>
</cp:coreProperties>
</file>