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right"/>
      </w:pPr>
      <w:r>
        <w:t>Приложение 11</w:t>
      </w:r>
    </w:p>
    <w:p w:rsidR="00D463E7" w:rsidRDefault="00D463E7" w:rsidP="00D463E7">
      <w:pPr>
        <w:pStyle w:val="ConsPlusNormal"/>
        <w:jc w:val="right"/>
      </w:pPr>
      <w:r>
        <w:t>к постановлению Правительства</w:t>
      </w:r>
    </w:p>
    <w:p w:rsidR="00D463E7" w:rsidRDefault="00D463E7" w:rsidP="00D463E7">
      <w:pPr>
        <w:pStyle w:val="ConsPlusNormal"/>
        <w:jc w:val="right"/>
      </w:pPr>
      <w:r>
        <w:t>Ханты-Мансийского</w:t>
      </w:r>
    </w:p>
    <w:p w:rsidR="00D463E7" w:rsidRDefault="00D463E7" w:rsidP="00D463E7">
      <w:pPr>
        <w:pStyle w:val="ConsPlusNormal"/>
        <w:jc w:val="right"/>
      </w:pPr>
      <w:r>
        <w:t>автономного округа - Югры</w:t>
      </w:r>
    </w:p>
    <w:p w:rsidR="00D463E7" w:rsidRDefault="00D463E7" w:rsidP="00D463E7">
      <w:pPr>
        <w:pStyle w:val="ConsPlusNormal"/>
        <w:jc w:val="right"/>
      </w:pPr>
      <w:r>
        <w:t>от 5 октября 2018 года N 344-п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center"/>
      </w:pPr>
      <w:bookmarkStart w:id="0" w:name="P3410"/>
      <w:bookmarkEnd w:id="0"/>
      <w:r>
        <w:t>ПОРЯДОК</w:t>
      </w:r>
    </w:p>
    <w:p w:rsidR="00D463E7" w:rsidRDefault="00D463E7" w:rsidP="00D463E7">
      <w:pPr>
        <w:pStyle w:val="ConsPlusNormal"/>
        <w:jc w:val="center"/>
      </w:pPr>
      <w:r>
        <w:t>ПРЕДОСТАВЛЕНИЯ ГРАНТОВ В ФОРМЕ СУБСИДИЙ НА РЕАЛИЗАЦИЮ</w:t>
      </w:r>
    </w:p>
    <w:p w:rsidR="00D463E7" w:rsidRDefault="00D463E7" w:rsidP="00D463E7">
      <w:pPr>
        <w:pStyle w:val="ConsPlusNormal"/>
        <w:jc w:val="center"/>
      </w:pPr>
      <w:r>
        <w:t>ПРОЕКТОВ ПО ЗАГОТОВКЕ И ПЕРЕРАБОТКЕ ДИКОРОСОВ</w:t>
      </w:r>
    </w:p>
    <w:p w:rsidR="00D463E7" w:rsidRDefault="00D463E7" w:rsidP="00D463E7">
      <w:pPr>
        <w:pStyle w:val="ConsPlusNormal"/>
        <w:jc w:val="center"/>
      </w:pPr>
      <w:r>
        <w:t>(ДАЛЕЕ - ПОРЯДОК)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center"/>
      </w:pPr>
      <w:r>
        <w:t>I. Общие положения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ind w:firstLine="540"/>
        <w:jc w:val="both"/>
      </w:pPr>
      <w:r>
        <w:t>1.1. Порядок определяет цель, условия, правила предоставления грантов в форме субсидий для реализации мероприятия 4.1 "Государственная поддержка развития системы заготовки и переработки дикоросов" подпрограммы 4 "Поддержка развития системы заготовки и переработки дикоросов, стимулирование развития агропромышленного комплекса" на реализацию проектов по заготовке и переработке дикоросов (далее - проект) в пределах средств, предусмотренных на эти цели в бюджете автономного округа на текущий год (далее - субсидия).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1" w:name="P3418"/>
      <w:bookmarkEnd w:id="1"/>
      <w:r>
        <w:t>1.2. Субсидии предоставляются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 (далее - Получатели), зарегистрированным и осуществляющим свою деятельность в автономном округе.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1.3. Под субсидией понимаются денежные средства, предусмотренные на финансовое обеспечение затрат, связанных с реализацией проекта по заготовке и переработке дикоросов, включая: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разработку проектной документации строительства, реконструкции или модернизации объектов по заготовке и (или) переработке дикоросов;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строительство, реконструкцию или модернизацию объектов по заготовке и (или) переработке дикоросов;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комплектацию объектов по заготовке и (или) переработке дикоросов оборудованием и техникой, а также их монтаж.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1.4. Субсидии предоставляются Получателям, прошедшим конкурсный отбор на включение в состав участников, в соответствии с Порядком.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1.5. Субсидия предоставляется на реализацию проекта и определяется в соответствии с планом расходов, включенным в проект (далее - план расходов), в размере не более 70 процентов затрат (но не более 1500 тыс. рублей).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1.6. Размер субсидии определяется конкурсной комиссией, созданной приказом Департамента промышленности автономного округа (далее - Департамент), с учетом наличия собственных средств Получателя. Изменение плана расходов, в том числе в пределах предоставленной субсидии, подлежит согласованию с конкурсной комиссией.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1.7. Субсидия должна быть израсходована на цели и в сроки, указанные в плане расходов в течение 18 месяцев со дня заключения соглашения о ее предоставлении.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2" w:name="P3427"/>
      <w:bookmarkEnd w:id="2"/>
      <w:r>
        <w:t>1.8. Субсидия может быть предоставлена Получателю только 1 раз.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3" w:name="P3428"/>
      <w:bookmarkEnd w:id="3"/>
      <w:r>
        <w:t>1.9. Получатель не может получить государственную поддержку по иным мероприятиям, установленным настоящим постановлением и иными государственными программами автономного округа, за исключением субсидии на уплату процентов по кредитам (займам) - в отношении объектов, приобретенных, построенных, реконструированных или модернизированных за счет средств субсидии.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1.10. Основанием для перечисления субсидии является соглашение о предоставлении субсидии (далее - Соглашение), заключенное между Департаментом и Получателем.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lastRenderedPageBreak/>
        <w:t>1.11. Соглашение заключается по форме, установленной Департаментом финансов автономного округа.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1.12. Соглашение должно содержать следующие положения: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цель использования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план расходов;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значения показателей результативности использования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согласие Получателя на осуществление Департаментом и органом государственного финансового контроля автономного округа проверок соблюдения условий, целей и порядка предоставления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обязательства сторон, сроки предоставления, размер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порядок контроля соблюдения Получателем условий Соглашения;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план контрольных мероприятий;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порядок, сроки и состав отчетности Получателя об использовании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расчет размера штрафных санкций;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возможность осуществления расходов, источником финансового обеспечения которых являются неиспользованные в отчетном финансовом году остатки средств Гранта, и включение таких положений в Соглашение при принятии главным распорядителем как получателем бюджетных средств по согласованию с финансовым органом автономного округа решения о наличии потребности в указанных средствах.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1.13. Департамент формирует единый список Получателей на текущий год в хронологической последовательности согласно регистрации заявок по дате поступления.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center"/>
      </w:pPr>
      <w:r>
        <w:t>II. Условия предоставления субсидий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ind w:firstLine="540"/>
        <w:jc w:val="both"/>
      </w:pPr>
      <w:bookmarkStart w:id="4" w:name="P3446"/>
      <w:bookmarkEnd w:id="4"/>
      <w:r>
        <w:t>2.1. В конкурсную комиссию для участия в конкурсном отборе может подать заявку Получатель, одновременно соответствующий следующим требованиям: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1) срок деятельности на дату подачи заявки превышает 12 месяцев от даты регистрации на территории автономного округа;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2) ранее не являлся получателем субсидий на реализацию проектов по заготовке и переработке дикоросов;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3) проект со сроком окупаемости не более 8 лет по форме, утвержденной Департаментом;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4) план расходов содержит указания наименований приобретаемого имущества, выполняемых работ, оказываемых услуг, их количества, цены, источников финансирования (средств субсидии, собственных и заемных средств);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5) обязуется оплачивать не менее 30 процентов стоимости каждого наименования приобретений, указанных в плане расходов непосредственно за счет собственных средств, в том числе заемных, от стоимости каждого наименования приобретений;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6) планирует создание условий для организации не менее 3 постоянных рабочих мест;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7) обязуется осуществлять деятельность в течение не менее 5 лет после получения субсидии;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8) соглашается на передачу и обработку его персональных данных в соответствии с законодательством Российской Федерации.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5" w:name="P3455"/>
      <w:bookmarkEnd w:id="5"/>
      <w:r>
        <w:t>2.2. Требования, которым должны соответствовать Получатели на 15 число месяца, предшествующего месяцу регистрации заявления о предоставлении субсидии: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отсутствие неисполненной обязанности по уплате налогов, сборов, страховых взносов, пеней, </w:t>
      </w:r>
      <w:r>
        <w:lastRenderedPageBreak/>
        <w:t>штрафов, процентов, подлежащих уплате в соответствии с законодательством Российской Федерации о налогах и сборах;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отсутствие просроченной задолженности по возврату в бюджет автономного округа,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Получатели - юридические лица не должны находиться в процессе реорганизации, ликвидации, банкротства, а Получатели - индивидуальные предприниматели не должны прекратить деятельность в качестве индивидуального предпринимателя;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Получатели не должны получать средства из бюджета, на основании иных нормативных правовых актов или муниципальных правовых актов на цели, указанные в </w:t>
      </w:r>
      <w:hyperlink w:anchor="P3418" w:history="1">
        <w:r>
          <w:rPr>
            <w:color w:val="0000FF"/>
          </w:rPr>
          <w:t>пункте 1.2</w:t>
        </w:r>
      </w:hyperlink>
      <w:r>
        <w:t xml:space="preserve"> Порядка.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center"/>
      </w:pPr>
      <w:r>
        <w:t>III. Правила предоставления субсидий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ind w:firstLine="540"/>
        <w:jc w:val="both"/>
      </w:pPr>
      <w:r>
        <w:t>3.1. Департамент объявляет конкурс на отбор участников по предоставлению субсидии (далее - Конкурс).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3.2. Срок проведения Конкурса, его этапы, форма заявки для участия в Конкурсе и срок ее представления в конкурсную комиссию утверждаются Департаментом.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6" w:name="P3466"/>
      <w:bookmarkEnd w:id="6"/>
      <w:r>
        <w:t>3.3. Получатели представляют в конкурсную комиссию следующие документы (подлинники или их копии, заверенные в установленном законодательством Российской Федерации порядке):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1) заявку;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2) доверенность на право подачи заявки от имени Получателя, в случае если она подается не Получателем, а его представителем;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3) реквизиты банковского счета Получателя;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4) документы и (или) копии документов, подтверждающие наличие денежных средств в размере не менее 30 процентов от стоимости приобретаемого имущества, выполняемых работ, оказываемых услуг на реализацию проекта по заготовке и переработке дикоросов, в том числе заемных (выписка из банковского счета (счетов) Заявителя, договоры о предоставлении Заявителю кредитов (займов) на реализацию бизнес-плана по созданию и развитию крестьянского (фермерского) хозяйства и (или) иные документы, предусмотренные действующим законодательством);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5) проект со сроком окупаемости не более 8 лет по форме, утвержденной Департаментом;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6) план расходов, по форме, утвержденной Департаментом;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7) в случае членства в перерабатывающем кооперативе или наличия договоров с хозяйствующими субъектами о поставке на переработку производимой продукции, подтверждающие документы;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8) в случае наличия проектно-сметной документации на планируемые объекты, наличия договоров на оказание услуг, поставку оборудования, техники, инвентаря, подтверждающие документы.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Получатель вправе самостоятельно представить иные документы.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3.4. Департамент самостоятельно в течение 1 рабочего дня запрашивает в порядке </w:t>
      </w:r>
      <w:r>
        <w:lastRenderedPageBreak/>
        <w:t xml:space="preserve">межведомственного информационного взаимодействия, установленного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по необходимости, следующие документы: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документы об отсутствии задолженности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документы, подтверждающие отсутствие просроченной задолженности по возврату в бюджет автономного округа,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выписку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Указанные документы могут быть представлены Получателем самостоятельно в день подачи заявления на предоставление субсидии.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3.5. Требовать от Получателя представления документов (копий документов), не предусмотренных настоящим Порядком, не допускается.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3.6. Документы (копии документов), предусмотренные в </w:t>
      </w:r>
      <w:hyperlink w:anchor="P3466" w:history="1">
        <w:r>
          <w:rPr>
            <w:color w:val="0000FF"/>
          </w:rPr>
          <w:t>пункте 3.3</w:t>
        </w:r>
      </w:hyperlink>
      <w:r>
        <w:t xml:space="preserve"> Порядка, представляются в Департамент по адресу: 628011, Ханты-Мансийский автономный округ - Югра, г. Ханты-Мансийск, ул. Рознина, д. 64, одним из следующих способов: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1) сформированными в 1 прошнурованный и пронумерованный комплект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Получателя, второй (копия) прилагается к представленным документам;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2) через многофункциональный центр предоставления государственных и муниципальных услуг (далее - многофункциональный центр) - сформированными в 1 прошнурованный и пронумерованный комплект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Получателя, второй (копия) прилагается к представленным документам. Порядок передачи многофункциональным центром принятых заявлений и документов в Департамент определяется соглашением, заключенным между Департаментом и многофункциональным центром;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3) в электронной форме - подписанные усиленной квалифицированной электронной подписью на адрес электронной почты Департамента: depprom@admhmao.ru.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3.7. Конкурсная комиссия в течение 15 рабочих дней со дня окончания срока приема заявок рассматривает документы и принимает решение о предоставлении субсидии или об отказе в предоставлении субсидии и оформляет такое решение протоколом. </w:t>
      </w:r>
      <w:hyperlink w:anchor="P5954" w:history="1">
        <w:r>
          <w:rPr>
            <w:color w:val="0000FF"/>
          </w:rPr>
          <w:t>Положение</w:t>
        </w:r>
      </w:hyperlink>
      <w:r>
        <w:t xml:space="preserve"> и состав комиссии определяются в соответствии с приложением 27 к настоящему постановлению.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bookmarkStart w:id="7" w:name="P3488"/>
      <w:bookmarkEnd w:id="7"/>
      <w:r>
        <w:t>3.8. В случае принятия решения о предоставлении субсидии Департамент в течение 5 рабочих дней со дня подписания Протокола направляет Получателю подписанное со стороны Департамента Соглашение для его подписания лично или посредством почтового отправления.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Получатель в течение 5 рабочих дней с даты получения Соглашения подписывает и представляет его в Департамент лично или почтовым отправлением. Получатель, не представивший в Департамент подписанное Соглашение в указанный срок (в случае направления посредством почтовой связи срок исчисляется в течение 5 рабочих дней с момента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lastRenderedPageBreak/>
        <w:t>3.9. В случае принятия решения об отказе в предоставлении субсидии конкурсная комиссия в течение 5 рабочих дней со дня принятия решения направляет Получателю уведомление об отказе в ее предоставлении с указанием причин отказа (далее - Уведомление).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Уведомление направляется (вручается) Получателю одним из следующих способов: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почтовым отправлением;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 форме электронного документа, подписанного усиленной электронной цифровой подписью, посредством электронной почты;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вручается лично при обращении в Департамент.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3.10. Основаниями для отказа в предоставлении субсидии являются: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отсутствие лимитов, предусмотренных для предоставления субсидий, в бюджете автономного округа;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нарушение срока представления документов;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непредставление Получателем документов, указанных в </w:t>
      </w:r>
      <w:hyperlink w:anchor="P3466" w:history="1">
        <w:r>
          <w:rPr>
            <w:color w:val="0000FF"/>
          </w:rPr>
          <w:t>пунктах 3.3</w:t>
        </w:r>
      </w:hyperlink>
      <w:r>
        <w:t xml:space="preserve">, </w:t>
      </w:r>
      <w:hyperlink w:anchor="P3488" w:history="1">
        <w:r>
          <w:rPr>
            <w:color w:val="0000FF"/>
          </w:rPr>
          <w:t>3.8</w:t>
        </w:r>
      </w:hyperlink>
      <w:r>
        <w:t xml:space="preserve"> Порядка;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представление документов с нарушением требований к их оформлению;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выявление в представленных документах сведений, не соответствующих действительности;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 xml:space="preserve">несоответствие Получателя требованиям, установленным </w:t>
      </w:r>
      <w:hyperlink w:anchor="P3427" w:history="1">
        <w:r>
          <w:rPr>
            <w:color w:val="0000FF"/>
          </w:rPr>
          <w:t>пунктами 1.8</w:t>
        </w:r>
      </w:hyperlink>
      <w:r>
        <w:t xml:space="preserve">, </w:t>
      </w:r>
      <w:hyperlink w:anchor="P3428" w:history="1">
        <w:r>
          <w:rPr>
            <w:color w:val="0000FF"/>
          </w:rPr>
          <w:t>1.9</w:t>
        </w:r>
      </w:hyperlink>
      <w:r>
        <w:t xml:space="preserve">, </w:t>
      </w:r>
      <w:hyperlink w:anchor="P3446" w:history="1">
        <w:r>
          <w:rPr>
            <w:color w:val="0000FF"/>
          </w:rPr>
          <w:t>2.1</w:t>
        </w:r>
      </w:hyperlink>
      <w:r>
        <w:t xml:space="preserve">, </w:t>
      </w:r>
      <w:hyperlink w:anchor="P3455" w:history="1">
        <w:r>
          <w:rPr>
            <w:color w:val="0000FF"/>
          </w:rPr>
          <w:t>2.2</w:t>
        </w:r>
      </w:hyperlink>
      <w:r>
        <w:t xml:space="preserve"> Порядка.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3.11. Перечисление субсидии осуществляется в порядке, сроки и на счета, установленные Соглашением.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3.12. Каждый Получатель представляет отчет в установленные Соглашением сроки об использовании субсидии.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center"/>
      </w:pPr>
      <w:r>
        <w:t>IV. Правила возврата субсидий в случае нарушения условий,</w:t>
      </w:r>
    </w:p>
    <w:p w:rsidR="00D463E7" w:rsidRDefault="00D463E7" w:rsidP="00D463E7">
      <w:pPr>
        <w:pStyle w:val="ConsPlusNormal"/>
        <w:jc w:val="center"/>
      </w:pPr>
      <w:r>
        <w:t>установленных при их предоставлении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ind w:firstLine="540"/>
        <w:jc w:val="both"/>
      </w:pPr>
      <w:r>
        <w:t>4.1. В случае выявления нецелевого использования субсидии, представления Получателем недостоверных сведений, ненадлежащего исполнения Соглашения: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4.1.1. Департамент в течение 5 рабочих дней с момента выявления нецелевого использования субсидии, представления Получателем недостоверных сведений, ненадлежащего исполнения Соглашения направляет Получателю письменное уведомление о необходимости его возврата (далее - уведомление).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4.1.2. Получатель в течение 30 рабочих дней со дня получения уведомления обязан выполнить требования, указанные в нем.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4.1.3. При невозврате субсидии в указанный срок Департамент обращается в суд в соответствии с законодательством Российской Федерации.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4.2. В случае выявления факта недостижения показателей результативности использования субсидии, установленных Соглашением: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4.2.1. Департамент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D463E7" w:rsidRDefault="00D463E7" w:rsidP="00D463E7">
      <w:pPr>
        <w:pStyle w:val="ConsPlusNormal"/>
        <w:spacing w:before="200"/>
        <w:ind w:firstLine="540"/>
        <w:jc w:val="both"/>
      </w:pPr>
      <w:r>
        <w:t>4.2.2. При неоплате Получателем начисленного штрафа в установленный требованием срок Департамент обращается в суд в соответствии с законодательством Российской Федерации.</w:t>
      </w:r>
    </w:p>
    <w:p w:rsidR="00D463E7" w:rsidRDefault="00D463E7" w:rsidP="00D463E7">
      <w:pPr>
        <w:pStyle w:val="ConsPlusNormal"/>
        <w:jc w:val="both"/>
      </w:pPr>
    </w:p>
    <w:p w:rsidR="00D463E7" w:rsidRDefault="00D463E7" w:rsidP="00D463E7">
      <w:pPr>
        <w:pStyle w:val="ConsPlusNormal"/>
        <w:jc w:val="both"/>
      </w:pPr>
    </w:p>
    <w:p w:rsidR="00595D91" w:rsidRDefault="00595D91">
      <w:bookmarkStart w:id="8" w:name="_GoBack"/>
      <w:bookmarkEnd w:id="8"/>
    </w:p>
    <w:sectPr w:rsidR="0059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FA"/>
    <w:rsid w:val="00595D91"/>
    <w:rsid w:val="00D463E7"/>
    <w:rsid w:val="00D4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DC03-9A08-414C-AF5E-5B2B4044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3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0D353FE3181F168537175DC4ECC1868DC93C7440CE1DDF1FCF35A48EA8D6A9A108D0AF2B57A43B205818E08BM8k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2360</Words>
  <Characters>13455</Characters>
  <Application>Microsoft Office Word</Application>
  <DocSecurity>0</DocSecurity>
  <Lines>112</Lines>
  <Paragraphs>31</Paragraphs>
  <ScaleCrop>false</ScaleCrop>
  <Company/>
  <LinksUpToDate>false</LinksUpToDate>
  <CharactersWithSpaces>15784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2</cp:revision>
  <dcterms:created xsi:type="dcterms:W3CDTF">2019-06-14T11:35:00Z</dcterms:created>
  <dcterms:modified xsi:type="dcterms:W3CDTF">2019-06-14T11:37:00Z</dcterms:modified>
</cp:coreProperties>
</file>