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ind w:left="1247"/>
        <w:jc w:val="center"/>
        <w:spacing w:before="0" w:after="0"/>
      </w:pPr>
      <w:r/>
      <w:bookmarkStart w:id="0" w:name="__DdeLink__9206_733755180"/>
      <w:r>
        <w:rPr>
          <w:rFonts w:ascii="Times New Roman" w:hAnsi="Times New Roman" w:cs="Times New Roman"/>
          <w:b/>
          <w:sz w:val="28"/>
          <w:szCs w:val="28"/>
        </w:rPr>
        <w:t xml:space="preserve">Реестр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туристических маршрутов, туров и экскурсионных программ по скандинавской ходьбе </w:t>
      </w:r>
      <w:r/>
    </w:p>
    <w:p>
      <w:pPr>
        <w:pStyle w:val="822"/>
        <w:ind w:left="1247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граждан пожилого возраста (далее – туристические программы) </w:t>
      </w:r>
      <w:r/>
    </w:p>
    <w:p>
      <w:pPr>
        <w:pStyle w:val="822"/>
        <w:ind w:left="1247"/>
        <w:jc w:val="center"/>
        <w:spacing w:before="0"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– Югры</w:t>
      </w:r>
      <w:r/>
    </w:p>
    <w:p>
      <w:pPr>
        <w:pStyle w:val="822"/>
        <w:ind w:left="1247"/>
        <w:jc w:val="center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14647" w:type="dxa"/>
        <w:tblInd w:w="139" w:type="dxa"/>
        <w:tblLayout w:type="fixed"/>
        <w:tblCellMar>
          <w:left w:w="108" w:type="dxa"/>
          <w:top w:w="55" w:type="dxa"/>
          <w:right w:w="108" w:type="dxa"/>
          <w:bottom w:w="55" w:type="dxa"/>
        </w:tblCellMar>
        <w:tblLook w:val="04A0" w:firstRow="1" w:lastRow="0" w:firstColumn="1" w:lastColumn="0" w:noHBand="0" w:noVBand="1"/>
      </w:tblPr>
      <w:tblGrid>
        <w:gridCol w:w="531"/>
        <w:gridCol w:w="1967"/>
        <w:gridCol w:w="2045"/>
        <w:gridCol w:w="2783"/>
        <w:gridCol w:w="2311"/>
        <w:gridCol w:w="2208"/>
        <w:gridCol w:w="2801"/>
      </w:tblGrid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3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п\п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67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муниципального образования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04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туристической программы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8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31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Продолжительность, сезонность, стоимость туристической программы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20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 туристической программы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Контакты организатора (адрес, контактные телефоны, электронная почта, сайт)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845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7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Березовский район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Северная ходьба – новый образ жизни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реализуется при грантовой поддержке Минспорта России в рамках федерального проекта «Спорт - норма жизни».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проходят на территории стадиона спортивной школы «Виктория», со специалистом по адаптивной физической культуре. Группа составляет 27 человек.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скандинавской ходьбы составляет 235 метров, занятий проходят в период с мая по октябрь на бесплатной основе.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учреждение «Спортивная школа «Виктория»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</w:t>
            </w:r>
            <w:r>
              <w:rPr>
                <w:rFonts w:ascii="Times New Roman" w:hAnsi="Times New Roman" w:cs="Times New Roman"/>
                <w:lang w:val="en-US"/>
              </w:rPr>
              <w:t xml:space="preserve">. 8(34674)2-14-02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1" w:tooltip="mailto:ck-viktoriy@yandex.ru" w:history="1"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ck-viktoriy@yandex.ru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,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пгт. Березово, Березовский район, ул. Авиаторов дом 25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845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7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Кондинский  район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Спортивно-оздоровительный природный комплекс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«Тропа здоровья»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тропе здоровья со</w:t>
            </w:r>
            <w:r>
              <w:rPr>
                <w:rFonts w:ascii="Times New Roman" w:hAnsi="Times New Roman" w:cs="Times New Roman"/>
              </w:rPr>
              <w:t xml:space="preserve">зданы и успешно функционируют три маршрута, с тремя площадками – смотровой, спортивной и площадкой отдыха. Занятия по скандинавской ходьбе осуществляются круглогодично для всех желающих, а искусственное освещение позволяет использовать ее в вечернее время.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группы – до 20 человек.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Востреб</w:t>
            </w:r>
            <w:r>
              <w:rPr>
                <w:rFonts w:ascii="Times New Roman" w:hAnsi="Times New Roman" w:cs="Times New Roman"/>
              </w:rPr>
              <w:t xml:space="preserve">ованность тропы здоровья определяется ежедневным использованием в течение всего календарного года для семейных прогулок, занятий по скандинавской ходьбе, проведению спортивно-массовых мероприятий для разных возрастных групп, экологических акций и экскурсий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Круглогодично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Продолжительность занятия – 2 часа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занятия осуществляется бесплатно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Зубова Светлана Сергеевна,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бюджетного учреждения дополнительного образования  Районная детско-юношеская спортивная школа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(МБУ ДО РДЮСШ)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Сибирская, д.51, пгт. Междуреченский, Кондинский район, Ханты-Мансийский автономный округ - Югра, 628200,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8(34677)32-951,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rduch86@mail.ru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845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Лангепас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«Группа здоровья»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Наряду с физическими упражнениями разной направленности, проводятся занятия по скандинавской ходьбе с инструктором по спорту. Передвижение во время таких занятий проводится по безопасным маршрутам, захватывая лесной массив в парковой зоне города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Бесплатно, в открытом доступе, для индивидуальных и групповых занятий</w:t>
            </w:r>
            <w:r>
              <w:rPr>
                <w:highlight w:val="none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30,60, 90 минут,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ЛГ МАУ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ДО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«Спортивн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ая школа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«Лангепаса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»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 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 w:eastAsia="Calibri" w:cs="Times New Roman"/>
              </w:rPr>
              <w:t xml:space="preserve">г. </w:t>
            </w:r>
            <w:r>
              <w:rPr>
                <w:rFonts w:ascii="Times New Roman" w:hAnsi="Times New Roman" w:eastAsia="Calibri" w:cs="Times New Roman"/>
              </w:rPr>
              <w:t xml:space="preserve">Лангепас</w:t>
            </w:r>
            <w:r>
              <w:rPr>
                <w:rFonts w:ascii="Times New Roman" w:hAnsi="Times New Roman" w:eastAsia="Calibri" w:cs="Times New Roman"/>
              </w:rPr>
              <w:t xml:space="preserve">, ул. </w:t>
            </w:r>
            <w:r>
              <w:rPr>
                <w:rFonts w:ascii="Times New Roman" w:hAnsi="Times New Roman" w:eastAsia="Calibri" w:cs="Times New Roman"/>
              </w:rPr>
              <w:t xml:space="preserve">Солнечная</w:t>
            </w:r>
            <w:r>
              <w:rPr>
                <w:rFonts w:ascii="Times New Roman" w:hAnsi="Times New Roman" w:eastAsia="Calibri" w:cs="Times New Roman"/>
              </w:rPr>
              <w:t xml:space="preserve">, 23,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 w:eastAsia="Calibri" w:cs="Times New Roman"/>
              </w:rPr>
              <w:t xml:space="preserve">8(34669) 2-79-11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lsk2001@ya.ru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845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7" w:type="dxa"/>
            <w:textDirection w:val="lrTb"/>
            <w:noWrap w:val="false"/>
          </w:tcPr>
          <w:p>
            <w:pPr>
              <w:pStyle w:val="78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Нефтеюганск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pStyle w:val="78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Физкультурно-оздоровительное мероприятие «Скандинавским шагом за здоровьем», посвященное Всемирному дню скандинавской ходьбы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Тропа здоровья проложена по туристическому маршруту, захватывая лесной массив в парковой зоне города. Передвижение во время таких занятий проводится с инструктором по спорту отделения адаптивной физической культуры и спорта МБУ ЦФКиС «Жемчужина Югры».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маршрута 3 км</w:t>
            </w:r>
            <w:r/>
          </w:p>
          <w:p>
            <w:pPr>
              <w:pStyle w:val="78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Бесплатно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ЦФКиС «Жемчужина Югры»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г.Нефтеюганск,</w:t>
            </w:r>
            <w:r/>
          </w:p>
          <w:p>
            <w:pPr>
              <w:pStyle w:val="78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мкр., стр.2а,</w:t>
            </w:r>
            <w:r/>
          </w:p>
          <w:p>
            <w:pPr>
              <w:pStyle w:val="78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(3463) 31-35-00,</w:t>
            </w:r>
            <w:r/>
          </w:p>
          <w:p>
            <w:pPr>
              <w:pStyle w:val="78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2" w:tooltip="mailto:inbox@sk-yugra.ru" w:history="1"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inbox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sk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-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yugra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78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hyperlink r:id="rId13" w:tooltip="http://sk-yugra.ru/" w:history="1"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http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://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sk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-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yugra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ru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/</w:t>
              </w:r>
            </w:hyperlink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845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7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Покачи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для занятий скандинавской ходьбой №1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историей города и увидеть его основные достопримечательности, узнать информацию о них. В программе посещение следующих о</w:t>
            </w:r>
            <w:r>
              <w:rPr>
                <w:rFonts w:ascii="Times New Roman" w:hAnsi="Times New Roman" w:cs="Times New Roman"/>
              </w:rPr>
              <w:t xml:space="preserve">бъектов: монумент «Защитникам отечества», соборной мечети, храма Покрова Божией матери, сквера «Таежный». Конечной точкой маршрута является общественная территория для активного и семейного отдыха «Теплый берег», на которой расположена спортивная площадка.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минут, круглогодично, бесплатно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«Краеведческий музей»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Покачи, Ханты-Мансийский автономный округ — Югра, ул. Комсомольская 4 – 61. Телефон/факс: 8(34669) 7-08-99.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museumpokachi@yandex.ru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www.museumpokachi.ru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845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7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Покачи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для занятий скандинавской ходьбой №2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tabs>
                <w:tab w:val="left" w:pos="480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 в лесопарковой зоне по асфальтированным дорожкам.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минут, летний период, бесплатно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845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7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Покачи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для занятий скандинавской ходьбой №3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 по лесным песчаным тропинкам до реки Ватьеган и обратно.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минут, летний период, бесплатно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" w:type="dxa"/>
            <w:vMerge w:val="restart"/>
            <w:textDirection w:val="lrTb"/>
            <w:noWrap w:val="false"/>
          </w:tcPr>
          <w:p>
            <w:pPr>
              <w:pStyle w:val="845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6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Радужный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Спортивно-оздоровительная ходьба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8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Маршрут в черте города, городской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 – 3, максимум 15, пользуется спросом, возраст не ограничен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Маршрут скандинавской ходьбы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летний период на бесплатной основе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Гордополов Олег Петрович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0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89825359387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4" w:tooltip="mailto:gordopolov68@mail.ru" w:history="1">
              <w:r>
                <w:rPr>
                  <w:rStyle w:val="813"/>
                  <w:rFonts w:ascii="Times New Roman" w:hAnsi="Times New Roman"/>
                  <w:sz w:val="22"/>
                  <w:szCs w:val="22"/>
                  <w:lang w:val="en-US"/>
                </w:rPr>
                <w:t xml:space="preserve">gordopolov68@mail.ru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845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7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Сургут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«За Саймой»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маршрута 1 км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маршрута от спортивной площадки, расположенных у моста, выходящего к ПАО «Россети», далее по главной асфальтированной дороге к перекрестку у моста с фиолетовыми фонарями. На перекр</w:t>
            </w:r>
            <w:r>
              <w:rPr>
                <w:rFonts w:ascii="Times New Roman" w:hAnsi="Times New Roman" w:cs="Times New Roman"/>
              </w:rPr>
              <w:t xml:space="preserve">естке маршрут поворачивает направо вдоль реки Сайма, мимо скульптурной композиции, скамеек, детских городков. На развилке открывается вид на реку Сайма, Храм св. Татьяны и СурГУ. Окончание маршрута – спортивная площадка у моста, выходящего к ПАО «Россети».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маршрута 3 км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маршрута от спортивной площадки, расположенных у моста, выходящего к ПАО «Россети»,</w:t>
            </w:r>
            <w:r>
              <w:rPr>
                <w:rFonts w:ascii="Times New Roman" w:hAnsi="Times New Roman" w:cs="Times New Roman"/>
              </w:rPr>
              <w:t xml:space="preserve"> далее по главной асфальтированной дороге к перекрестку у моста с фиолетовыми фонарями. На перекрестке маршрут поворачивает налево, вдоль реки Сайма, река — справа, слева — хвойный лесной массив. Маршрут ведет прямо, мимо моста с оранжевыми фонарями, дости</w:t>
            </w:r>
            <w:r>
              <w:rPr>
                <w:rFonts w:ascii="Times New Roman" w:hAnsi="Times New Roman" w:cs="Times New Roman"/>
              </w:rPr>
              <w:t xml:space="preserve">гая перекрестка у моста с зелеными фонарями. Далее маршрут поворачивает налево и через 50 метров, поворачивает направо на щебенчатую дорожку. Через 120 метров вдоль хвойного массива, который остается слева, поворачивает налево на лесную тропинку. Через 150</w:t>
            </w:r>
            <w:r>
              <w:rPr>
                <w:rFonts w:ascii="Times New Roman" w:hAnsi="Times New Roman" w:cs="Times New Roman"/>
              </w:rPr>
              <w:t xml:space="preserve"> метров маршрут выведет на асфальтированную дорожку парка. Далее маршрут поворачивает направо, по асфальтированной дорожке мимо двух асфальтированных перекрестков. После второго перекрестка маршрут пролегает через лесной массив с лиственными деревьями и по</w:t>
            </w:r>
            <w:r>
              <w:rPr>
                <w:rFonts w:ascii="Times New Roman" w:hAnsi="Times New Roman" w:cs="Times New Roman"/>
              </w:rPr>
              <w:t xml:space="preserve">ворачивает налево в хвойный лесной массив. На ближайшем перекрестке маршрут поворачивает направо сквозь хвойный лесной массив и далее по асфальтированной дорожке к спортивной площадке, расположенной у моста, выходящего к ПАО «Россети» – окончание маршрута.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Маршруты пользуются популярностью у жителей города.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человек от 10 до 25.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Круглогодично,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бесплатно,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утвержденному расписанию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ЦФП «Надежда»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Сургут, улица Студенческая 16,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телефон:89824137010 – начальник ФСК «Импульс» Ленде Ольга Николаевна,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15" w:tooltip="mailto:o.lende@mail.ru" w:history="1"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o.lende@mail.ru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,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http://nadezhda-sport.ru/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845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7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Сургут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«Кедровый лог»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маршрута 1 км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маршрута от спортивного городка возле колеса обозрения. Далее маршрут поворачивает направо, слева находится танцевальная площадка, </w:t>
            </w:r>
            <w:r>
              <w:rPr>
                <w:rFonts w:ascii="Times New Roman" w:hAnsi="Times New Roman" w:cs="Times New Roman"/>
              </w:rPr>
              <w:t xml:space="preserve">проходит до моста, через мост и поворачивает направо, с левой стороны остаётся Пост охраны. Маршрут проходит мимо скамеек, скульптурной композиции «Буратино» и выходит к санаторию «Кедровый Лог», затем проходит указатель с аистами, и по лестнице, спускаетс</w:t>
            </w:r>
            <w:r>
              <w:rPr>
                <w:rFonts w:ascii="Times New Roman" w:hAnsi="Times New Roman" w:cs="Times New Roman"/>
              </w:rPr>
              <w:t xml:space="preserve">я вниз, по дорожке, с правой стороны пруд. Маршрут проходит через первый мост, затем второй мост и поворачивает направо, возвращаясь к первому мосту и пруду. Далее маршрут пролегает к мосту с замками молодожёнов, проходит через мост, и маршрут завершается.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маршрута 3 км.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маршрута от спортивного городка возле колеса обозрения, далее маршрут поворачивает направо, слева - танцевальная площадка.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</w:t>
            </w:r>
            <w:r>
              <w:rPr>
                <w:rFonts w:ascii="Times New Roman" w:hAnsi="Times New Roman" w:cs="Times New Roman"/>
              </w:rPr>
              <w:t xml:space="preserve">проходит до моста, затем по аллее имени Георгия Ерёмина, с левой стороны – Пост охраны, с правой стороны качели, парковка, арт-объект «Кедровый Лог» с белочкой. Далее маршрут пролегает по аллее с качелями, кормушками и лавочками и поворачивает в парк на др</w:t>
            </w:r>
            <w:r>
              <w:rPr>
                <w:rFonts w:ascii="Times New Roman" w:hAnsi="Times New Roman" w:cs="Times New Roman"/>
              </w:rPr>
              <w:t xml:space="preserve">угую аллею. С правой стороны остаётся парковка санатория «Кедровый Лог». Затем маршрут проходит по аллее, мимо поворота на мост, мимо пруда с инсталляциями уток, и на 3 повороте поворачивает направо, затем по дороге, с левой стороны, обходя пруд с инсталля</w:t>
            </w:r>
            <w:r>
              <w:rPr>
                <w:rFonts w:ascii="Times New Roman" w:hAnsi="Times New Roman" w:cs="Times New Roman"/>
              </w:rPr>
              <w:t xml:space="preserve">циями гусей, выходит к турникам. Затем маршрут поворачивает налево, с правой стороны, обходя пруд с инсталляциями уток, с левой стороны детский городок. Далее маршрут идет по направлению к главному входу в парк, поворачивает направо и по дороге с подъемами</w:t>
            </w:r>
            <w:bookmarkStart w:id="1" w:name="_GoBack2"/>
            <w:r/>
            <w:bookmarkEnd w:id="1"/>
            <w:r>
              <w:rPr>
                <w:rFonts w:ascii="Times New Roman" w:hAnsi="Times New Roman" w:cs="Times New Roman"/>
              </w:rPr>
              <w:t xml:space="preserve"> и спусками проходит большой пруд, к мосту. Маршрут проходит через мост, и по аллее до 3-го поворота.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Далее маршрут поворачивает налево к скверу Молодожёнов, проходит через него и далее выходит к площадке для отдыха в виде Колизея. Маршрут завершается.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Маршруты пользуются спросом среди жителей города.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человек от 10 до 15.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Круглогодично,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бесплатно,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утвержденному расписанию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ЦФП «Надежда»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Сургут, улица Студенческая 16,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телефон:89824137010 – начальник ФСК «Импульс» Ленде Ольга Николаевна,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16" w:tooltip="mailto:o.lende@mail.ru" w:history="1"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o.lende@mail.ru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,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http://nadezhda-sport.ru/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845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7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Урай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«Урайское долголетие Экскурсионная программа «Первые на Конде»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pStyle w:val="857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Экскурсия совершается по набережной реки Конда. Экскурсовод рассказывает о реке Конда, об освоении этих территорий первыми поселенцами и о первых речных судах, ходивших по ней с 1896 года.</w:t>
            </w:r>
            <w:r/>
          </w:p>
          <w:p>
            <w:pPr>
              <w:pStyle w:val="857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Продолжительность экскурсии – 60 минут. Количество участников от 5 до 15 человек.</w:t>
            </w:r>
            <w:r/>
          </w:p>
          <w:p>
            <w:pPr>
              <w:pStyle w:val="857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 настоящий момент программа находится на стадии разработки механизмов реализации  туристско-экскурсионного маршрута, совместно с инструктором по скандинавской ходьбе и экскурсоводом.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маршрута 1,5 км.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Круглогодично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Музей истории города Урай (МАУ «Культура»)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мкр. 2, д, 39/1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8(34676)23396</w:t>
            </w:r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/>
            <w:hyperlink r:id="rId17" w:tooltip="mailto:info@museumuray.ru" w:history="1">
              <w:r>
                <w:rPr>
                  <w:rStyle w:val="813"/>
                  <w:rFonts w:ascii="Times New Roman" w:hAnsi="Times New Roman" w:cs="Times New Roman"/>
                  <w:bCs/>
                  <w:highlight w:val="white"/>
                </w:rPr>
                <w:t xml:space="preserve">info@museumuray.ru</w:t>
              </w:r>
            </w:hyperlink>
            <w:r/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/>
            <w:hyperlink r:id="rId18" w:tooltip="http://www.museumuray.ru/" w:history="1">
              <w:r>
                <w:rPr>
                  <w:rStyle w:val="813"/>
                  <w:rFonts w:ascii="Times New Roman" w:hAnsi="Times New Roman" w:cs="Times New Roman"/>
                </w:rPr>
                <w:t xml:space="preserve">www.museumuray.ru</w:t>
              </w:r>
            </w:hyperlink>
            <w:r/>
            <w:r/>
          </w:p>
          <w:p>
            <w:pPr>
              <w:pStyle w:val="78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Парковая,1, 8(34676)9-10-28</w:t>
            </w:r>
            <w:r/>
          </w:p>
        </w:tc>
      </w:tr>
    </w:tbl>
    <w:p>
      <w:pPr>
        <w:pStyle w:val="822"/>
        <w:spacing w:before="0" w:after="0"/>
      </w:pPr>
      <w:r/>
      <w:bookmarkStart w:id="3" w:name="_GoBack"/>
      <w:r/>
      <w:bookmarkEnd w:id="3"/>
      <w:r/>
      <w:r/>
    </w:p>
    <w:sectPr>
      <w:headerReference w:type="default" r:id="rId9"/>
      <w:footnotePr/>
      <w:endnotePr/>
      <w:type w:val="nextPage"/>
      <w:pgSz w:w="16838" w:h="11906" w:orient="landscape"/>
      <w:pgMar w:top="1134" w:right="1134" w:bottom="1134" w:left="1134" w:header="426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</w:font>
  <w:font w:name="Microsoft YaHei">
    <w:panose1 w:val="020B0503020204020204"/>
  </w:font>
  <w:font w:name="Times New Roman">
    <w:panose1 w:val="02020603050405020304"/>
  </w:font>
  <w:font w:name="Liberation Mono">
    <w:panose1 w:val="020704090202050204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  <w:spacing w:before="0" w:after="200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 xml:space="preserve">13</w:t>
    </w:r>
    <w:r>
      <w:rPr>
        <w:rFonts w:ascii="Times New Roman" w:hAnsi="Times New Roman" w:cs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basedOn w:val="812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812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basedOn w:val="812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basedOn w:val="81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basedOn w:val="81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basedOn w:val="8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basedOn w:val="8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basedOn w:val="81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basedOn w:val="81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basedOn w:val="812"/>
    <w:uiPriority w:val="10"/>
    <w:qFormat/>
    <w:rPr>
      <w:sz w:val="48"/>
      <w:szCs w:val="48"/>
    </w:rPr>
  </w:style>
  <w:style w:type="character" w:styleId="800">
    <w:name w:val="Subtitle Char"/>
    <w:basedOn w:val="812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basedOn w:val="812"/>
    <w:uiPriority w:val="99"/>
    <w:qFormat/>
  </w:style>
  <w:style w:type="character" w:styleId="804">
    <w:name w:val="Footer Char"/>
    <w:basedOn w:val="812"/>
    <w:uiPriority w:val="99"/>
    <w:qFormat/>
  </w:style>
  <w:style w:type="character" w:styleId="805">
    <w:name w:val="Caption Char"/>
    <w:uiPriority w:val="99"/>
    <w:qFormat/>
  </w:style>
  <w:style w:type="character" w:styleId="806">
    <w:name w:val="Footnote Text Char"/>
    <w:uiPriority w:val="99"/>
    <w:qFormat/>
    <w:rPr>
      <w:sz w:val="18"/>
    </w:rPr>
  </w:style>
  <w:style w:type="character" w:styleId="807" w:customStyle="1">
    <w:name w:val="Символ сноски"/>
    <w:qFormat/>
  </w:style>
  <w:style w:type="character" w:styleId="808" w:customStyle="1">
    <w:name w:val="footnote reference"/>
    <w:rPr>
      <w:vertAlign w:val="superscript"/>
    </w:rPr>
  </w:style>
  <w:style w:type="character" w:styleId="809">
    <w:name w:val="Endnote Text Char"/>
    <w:uiPriority w:val="99"/>
    <w:qFormat/>
    <w:rPr>
      <w:sz w:val="20"/>
    </w:rPr>
  </w:style>
  <w:style w:type="character" w:styleId="810" w:customStyle="1">
    <w:name w:val="Символ концевой сноски"/>
    <w:qFormat/>
  </w:style>
  <w:style w:type="character" w:styleId="811" w:customStyle="1">
    <w:name w:val="endnote reference"/>
    <w:rPr>
      <w:vertAlign w:val="superscript"/>
    </w:rPr>
  </w:style>
  <w:style w:type="character" w:styleId="812" w:default="1">
    <w:name w:val="Default Paragraph Font"/>
    <w:uiPriority w:val="1"/>
    <w:semiHidden/>
    <w:unhideWhenUsed/>
    <w:qFormat/>
  </w:style>
  <w:style w:type="character" w:styleId="813">
    <w:name w:val="Hyperlink"/>
    <w:uiPriority w:val="99"/>
    <w:qFormat/>
    <w:rPr>
      <w:rFonts w:cs="Times New Roman"/>
      <w:color w:val="0000ff"/>
      <w:u w:val="single"/>
    </w:rPr>
  </w:style>
  <w:style w:type="character" w:styleId="814" w:customStyle="1">
    <w:name w:val="apple-converted-space"/>
    <w:basedOn w:val="812"/>
    <w:qFormat/>
    <w:rPr>
      <w:rFonts w:cs="Times New Roman"/>
    </w:rPr>
  </w:style>
  <w:style w:type="character" w:styleId="815" w:customStyle="1">
    <w:name w:val="Без интервала Знак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character" w:styleId="816" w:customStyle="1">
    <w:name w:val="Текст сноски Знак"/>
    <w:basedOn w:val="812"/>
    <w:uiPriority w:val="99"/>
    <w:semiHidden/>
    <w:qFormat/>
    <w:rPr>
      <w:szCs w:val="20"/>
    </w:rPr>
  </w:style>
  <w:style w:type="character" w:styleId="817" w:customStyle="1">
    <w:name w:val="Footnote Characters"/>
    <w:basedOn w:val="812"/>
    <w:uiPriority w:val="99"/>
    <w:semiHidden/>
    <w:unhideWhenUsed/>
    <w:qFormat/>
    <w:rPr>
      <w:vertAlign w:val="superscript"/>
    </w:rPr>
  </w:style>
  <w:style w:type="character" w:styleId="818" w:customStyle="1">
    <w:name w:val="Нижний колонтитул Знак"/>
    <w:basedOn w:val="812"/>
    <w:uiPriority w:val="99"/>
    <w:qFormat/>
    <w:rPr>
      <w:sz w:val="22"/>
    </w:rPr>
  </w:style>
  <w:style w:type="character" w:styleId="819" w:customStyle="1">
    <w:name w:val="Верхний колонтитул Знак"/>
    <w:basedOn w:val="812"/>
    <w:uiPriority w:val="99"/>
    <w:qFormat/>
    <w:rPr>
      <w:sz w:val="22"/>
    </w:rPr>
  </w:style>
  <w:style w:type="character" w:styleId="820" w:customStyle="1">
    <w:name w:val="Символ нумерации"/>
    <w:qFormat/>
  </w:style>
  <w:style w:type="paragraph" w:styleId="821" w:customStyle="1">
    <w:name w:val="Заголовок"/>
    <w:basedOn w:val="780"/>
    <w:next w:val="822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22">
    <w:name w:val="Body Text"/>
    <w:basedOn w:val="780"/>
    <w:pPr>
      <w:spacing w:before="0" w:after="140"/>
    </w:pPr>
  </w:style>
  <w:style w:type="paragraph" w:styleId="823">
    <w:name w:val="List"/>
    <w:basedOn w:val="822"/>
    <w:rPr>
      <w:rFonts w:ascii="Times New Roman" w:hAnsi="Times New Roman" w:cs="Arial"/>
    </w:rPr>
  </w:style>
  <w:style w:type="paragraph" w:styleId="824">
    <w:name w:val="Caption"/>
    <w:basedOn w:val="780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825">
    <w:name w:val="Указатель"/>
    <w:basedOn w:val="780"/>
    <w:qFormat/>
    <w:pPr>
      <w:suppressLineNumbers/>
    </w:pPr>
    <w:rPr>
      <w:rFonts w:cs="Lucida Sans"/>
    </w:rPr>
  </w:style>
  <w:style w:type="paragraph" w:styleId="826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7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28">
    <w:name w:val="Quote"/>
    <w:basedOn w:val="780"/>
    <w:uiPriority w:val="29"/>
    <w:qFormat/>
    <w:pPr>
      <w:ind w:left="720" w:right="720"/>
    </w:pPr>
    <w:rPr>
      <w:i/>
    </w:rPr>
  </w:style>
  <w:style w:type="paragraph" w:styleId="829">
    <w:name w:val="Intense Quote"/>
    <w:basedOn w:val="780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0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1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32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33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34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35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36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37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38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39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40">
    <w:name w:val="Index Heading"/>
    <w:basedOn w:val="821"/>
  </w:style>
  <w:style w:type="paragraph" w:styleId="841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2"/>
      <w:lang w:val="ru-RU" w:eastAsia="en-US" w:bidi="ar-SA"/>
    </w:rPr>
  </w:style>
  <w:style w:type="paragraph" w:styleId="842">
    <w:name w:val="table of figures"/>
    <w:basedOn w:val="780"/>
    <w:uiPriority w:val="99"/>
    <w:unhideWhenUsed/>
    <w:pPr>
      <w:spacing w:before="0" w:after="0" w:afterAutospacing="0"/>
    </w:pPr>
  </w:style>
  <w:style w:type="paragraph" w:styleId="843">
    <w:name w:val="index heading1"/>
    <w:basedOn w:val="780"/>
    <w:qFormat/>
    <w:pPr>
      <w:suppressLineNumbers/>
    </w:pPr>
    <w:rPr>
      <w:rFonts w:ascii="Times New Roman" w:hAnsi="Times New Roman" w:cs="Arial"/>
    </w:rPr>
  </w:style>
  <w:style w:type="paragraph" w:styleId="844">
    <w:name w:val="No Spacing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2"/>
      <w:szCs w:val="22"/>
      <w:lang w:val="en-US" w:eastAsia="zh-CN" w:bidi="ar-SA"/>
    </w:rPr>
  </w:style>
  <w:style w:type="paragraph" w:styleId="845">
    <w:name w:val="List Paragraph"/>
    <w:basedOn w:val="780"/>
    <w:qFormat/>
    <w:pPr>
      <w:contextualSpacing/>
      <w:ind w:left="720"/>
      <w:spacing w:before="0" w:after="200"/>
    </w:pPr>
    <w:rPr>
      <w:rFonts w:ascii="Calibri" w:hAnsi="Calibri" w:eastAsia="Calibri" w:cs="Times New Roman"/>
    </w:rPr>
  </w:style>
  <w:style w:type="paragraph" w:styleId="846" w:customStyle="1">
    <w:name w:val="Содержимое таблицы"/>
    <w:basedOn w:val="780"/>
    <w:qFormat/>
    <w:pPr>
      <w:suppressLineNumbers/>
    </w:pPr>
  </w:style>
  <w:style w:type="paragraph" w:styleId="847" w:customStyle="1">
    <w:name w:val="Заголовок таблицы"/>
    <w:basedOn w:val="846"/>
    <w:qFormat/>
    <w:pPr>
      <w:jc w:val="center"/>
    </w:pPr>
    <w:rPr>
      <w:b/>
      <w:bCs/>
    </w:rPr>
  </w:style>
  <w:style w:type="paragraph" w:styleId="848" w:customStyle="1">
    <w:name w:val="Верхний и нижний колонтитулы"/>
    <w:basedOn w:val="780"/>
    <w:qFormat/>
  </w:style>
  <w:style w:type="paragraph" w:styleId="849">
    <w:name w:val="Колонтитул"/>
    <w:basedOn w:val="780"/>
    <w:qFormat/>
  </w:style>
  <w:style w:type="paragraph" w:styleId="850">
    <w:name w:val="Header"/>
    <w:basedOn w:val="780"/>
    <w:uiPriority w:val="99"/>
    <w:pPr>
      <w:tabs>
        <w:tab w:val="clear" w:pos="708" w:leader="none"/>
        <w:tab w:val="center" w:pos="4659" w:leader="none"/>
        <w:tab w:val="right" w:pos="9318" w:leader="none"/>
      </w:tabs>
      <w:suppressLineNumbers/>
    </w:pPr>
  </w:style>
  <w:style w:type="paragraph" w:styleId="851" w:customStyle="1">
    <w:name w:val="Table Paragraph"/>
    <w:basedOn w:val="780"/>
    <w:qFormat/>
    <w:pPr>
      <w:jc w:val="center"/>
      <w:spacing w:before="0" w:after="0" w:line="240" w:lineRule="auto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852">
    <w:name w:val="Normal (Web)"/>
    <w:basedOn w:val="78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 w:customStyle="1">
    <w:name w:val="Table Style 2"/>
    <w:qFormat/>
    <w:pPr>
      <w:jc w:val="left"/>
      <w:spacing w:before="0" w:after="0"/>
      <w:widowControl/>
    </w:pPr>
    <w:rPr>
      <w:rFonts w:ascii="Arial Unicode MS" w:hAnsi="Arial Unicode MS" w:eastAsia="Arial Unicode MS" w:cs="Arial Unicode MS"/>
      <w:color w:val="000000"/>
      <w:sz w:val="22"/>
      <w:szCs w:val="22"/>
      <w:lang w:val="ru-RU" w:eastAsia="en-US" w:bidi="ar-SA"/>
    </w:rPr>
  </w:style>
  <w:style w:type="paragraph" w:styleId="854">
    <w:name w:val="footnote text"/>
    <w:basedOn w:val="780"/>
    <w:uiPriority w:val="99"/>
    <w:semiHidden/>
    <w:unhideWhenUsed/>
    <w:pPr>
      <w:spacing w:before="0" w:after="0" w:line="240" w:lineRule="auto"/>
    </w:pPr>
    <w:rPr>
      <w:sz w:val="20"/>
      <w:szCs w:val="20"/>
    </w:rPr>
  </w:style>
  <w:style w:type="paragraph" w:styleId="855">
    <w:name w:val="Foot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6" w:customStyle="1">
    <w:name w:val="Текст в заданном формате"/>
    <w:basedOn w:val="780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857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numbering" w:styleId="858" w:default="1">
    <w:name w:val="No List"/>
    <w:uiPriority w:val="99"/>
    <w:semiHidden/>
    <w:unhideWhenUsed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ck-viktoriy@yandex.ru" TargetMode="External"/><Relationship Id="rId12" Type="http://schemas.openxmlformats.org/officeDocument/2006/relationships/hyperlink" Target="mailto:inbox@sk-yugra.ru" TargetMode="External"/><Relationship Id="rId13" Type="http://schemas.openxmlformats.org/officeDocument/2006/relationships/hyperlink" Target="http://sk-yugra.ru/" TargetMode="External"/><Relationship Id="rId14" Type="http://schemas.openxmlformats.org/officeDocument/2006/relationships/hyperlink" Target="mailto:gordopolov68@mail.ru" TargetMode="External"/><Relationship Id="rId15" Type="http://schemas.openxmlformats.org/officeDocument/2006/relationships/hyperlink" Target="mailto:o.lende@mail.ru" TargetMode="External"/><Relationship Id="rId16" Type="http://schemas.openxmlformats.org/officeDocument/2006/relationships/hyperlink" Target="mailto:o.lende@mail.ru" TargetMode="External"/><Relationship Id="rId17" Type="http://schemas.openxmlformats.org/officeDocument/2006/relationships/hyperlink" Target="mailto:info@museumuray.ru" TargetMode="External"/><Relationship Id="rId18" Type="http://schemas.openxmlformats.org/officeDocument/2006/relationships/hyperlink" Target="http://www.museumuray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77DE-3E6B-4DE4-ADAE-2025FEC6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MyCompany</Company>
  <DocSecurity>0</DocSecurit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ArabadghiSV</dc:creator>
  <dc:description/>
  <dc:language>ru-RU</dc:language>
  <cp:revision>16</cp:revision>
  <dcterms:created xsi:type="dcterms:W3CDTF">2022-05-17T05:12:00Z</dcterms:created>
  <dcterms:modified xsi:type="dcterms:W3CDTF">2024-05-17T06:58:33Z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